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er2.xml" ContentType="application/vnd.openxmlformats-officedocument.wordprocessingml.footer+xml"/>
  <Override PartName="/word/theme/theme1.xml" ContentType="application/vnd.openxmlformats-officedocument.theme+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center"/>
        <w:rPr/>
      </w:pPr>
      <w:r>
        <w:rPr>
          <w:b/>
          <w:bCs/>
          <w:color w:val="auto"/>
          <w:sz w:val="22"/>
          <w:szCs w:val="22"/>
        </w:rPr>
        <w:t xml:space="preserve">Гражданско-правовой договор № </w:t>
      </w:r>
      <w:r>
        <w:rPr>
          <w:b/>
          <w:bCs/>
          <w:color w:val="auto"/>
          <w:sz w:val="22"/>
          <w:szCs w:val="22"/>
        </w:rPr>
        <w:t>20</w:t>
      </w:r>
      <w:r>
        <w:rPr>
          <w:b/>
          <w:bCs/>
          <w:color w:val="auto"/>
          <w:sz w:val="22"/>
          <w:szCs w:val="22"/>
        </w:rPr>
        <w:t>-Р</w:t>
      </w:r>
    </w:p>
    <w:p>
      <w:pPr>
        <w:pStyle w:val="Normal"/>
        <w:jc w:val="center"/>
        <w:rPr/>
      </w:pPr>
      <w:bookmarkStart w:id="0" w:name="__DdeLink__923_2715090396"/>
      <w:r>
        <w:rPr>
          <w:b w:val="false"/>
          <w:bCs w:val="false"/>
          <w:color w:val="auto"/>
          <w:sz w:val="22"/>
          <w:szCs w:val="22"/>
        </w:rPr>
        <w:t xml:space="preserve">Поставка </w:t>
      </w:r>
      <w:bookmarkEnd w:id="0"/>
      <w:r>
        <w:rPr>
          <w:b w:val="false"/>
          <w:bCs w:val="false"/>
          <w:color w:val="auto"/>
          <w:sz w:val="22"/>
          <w:szCs w:val="22"/>
          <w:lang w:eastAsia="ru-RU"/>
        </w:rPr>
        <w:t>полотенец бумажных</w:t>
      </w:r>
    </w:p>
    <w:p>
      <w:pPr>
        <w:pStyle w:val="Normal"/>
        <w:jc w:val="center"/>
        <w:rPr>
          <w:b/>
          <w:b/>
          <w:bCs/>
          <w:color w:val="auto"/>
          <w:sz w:val="22"/>
          <w:szCs w:val="22"/>
        </w:rPr>
      </w:pPr>
      <w:r>
        <w:rPr>
          <w:b/>
          <w:bCs/>
          <w:color w:val="auto"/>
          <w:sz w:val="22"/>
          <w:szCs w:val="22"/>
        </w:rPr>
      </w:r>
    </w:p>
    <w:p>
      <w:pPr>
        <w:pStyle w:val="Normal"/>
        <w:ind w:firstLine="567"/>
        <w:jc w:val="center"/>
        <w:rPr/>
      </w:pPr>
      <w:r>
        <w:rPr>
          <w:color w:val="auto"/>
          <w:sz w:val="22"/>
          <w:szCs w:val="22"/>
        </w:rPr>
        <w:t>г. Санкт-Петербург                                                                                          «___» ______ 2026 года.</w:t>
      </w:r>
    </w:p>
    <w:p>
      <w:pPr>
        <w:pStyle w:val="Normal"/>
        <w:ind w:firstLine="567"/>
        <w:jc w:val="both"/>
        <w:rPr>
          <w:color w:val="auto"/>
          <w:sz w:val="22"/>
          <w:szCs w:val="22"/>
        </w:rPr>
      </w:pPr>
      <w:r>
        <w:rPr>
          <w:color w:val="auto"/>
          <w:sz w:val="22"/>
          <w:szCs w:val="22"/>
        </w:rPr>
      </w:r>
    </w:p>
    <w:p>
      <w:pPr>
        <w:pStyle w:val="Normal"/>
        <w:ind w:firstLine="567"/>
        <w:jc w:val="both"/>
        <w:rPr/>
      </w:pPr>
      <w:r>
        <w:rPr>
          <w:b/>
          <w:bCs/>
          <w:color w:val="auto"/>
          <w:spacing w:val="-2"/>
          <w:sz w:val="22"/>
          <w:szCs w:val="22"/>
          <w:lang w:eastAsia="ar-SA"/>
        </w:rPr>
        <w:t xml:space="preserve">Санкт-Петербургское государственное бюджетное учреждение здравоохранения «Городская многопрофильная больница №2» (СПб ГБУЗ «ГМПБ № 2»), </w:t>
      </w:r>
      <w:r>
        <w:rPr>
          <w:color w:val="auto"/>
          <w:spacing w:val="-2"/>
          <w:sz w:val="22"/>
          <w:szCs w:val="22"/>
          <w:lang w:eastAsia="ar-SA"/>
        </w:rPr>
        <w:t>именуемое в дальнейшем «Заказчик», в лице главного врача Волчкова Владимира Анатольевича, действующего на основании Устава, с одной  стороны и ____________</w:t>
      </w:r>
      <w:r>
        <w:rPr>
          <w:rFonts w:eastAsia="Times New Roman" w:cs="Times New Roman"/>
          <w:b/>
          <w:color w:val="auto"/>
          <w:spacing w:val="-10"/>
          <w:sz w:val="22"/>
          <w:szCs w:val="22"/>
          <w:lang w:eastAsia="ar-SA"/>
        </w:rPr>
        <w:t xml:space="preserve"> (__________)</w:t>
      </w:r>
      <w:r>
        <w:rPr>
          <w:color w:val="auto"/>
          <w:spacing w:val="-2"/>
          <w:sz w:val="22"/>
          <w:szCs w:val="22"/>
          <w:lang w:eastAsia="ar-SA"/>
        </w:rPr>
        <w:t>, и</w:t>
      </w:r>
      <w:r>
        <w:rPr>
          <w:color w:val="auto"/>
          <w:spacing w:val="-10"/>
          <w:sz w:val="22"/>
          <w:szCs w:val="22"/>
          <w:lang w:eastAsia="ar-SA"/>
        </w:rPr>
        <w:t>менуемое в дальнейшем «Поставщик», в лице _______</w:t>
      </w:r>
      <w:r>
        <w:rPr>
          <w:rFonts w:eastAsia="Times New Roman" w:cs="Times New Roman"/>
          <w:color w:val="auto"/>
          <w:spacing w:val="-10"/>
          <w:sz w:val="22"/>
          <w:szCs w:val="22"/>
          <w:lang w:eastAsia="ar-SA"/>
        </w:rPr>
        <w:t>, действующего на основании __________</w:t>
      </w:r>
      <w:r>
        <w:rPr>
          <w:color w:val="auto"/>
          <w:spacing w:val="-2"/>
          <w:sz w:val="22"/>
          <w:szCs w:val="22"/>
          <w:lang w:eastAsia="ar-SA"/>
        </w:rPr>
        <w:t>,</w:t>
      </w:r>
      <w:r>
        <w:rPr>
          <w:b/>
          <w:color w:val="auto"/>
          <w:spacing w:val="-2"/>
          <w:sz w:val="22"/>
          <w:szCs w:val="22"/>
          <w:lang w:eastAsia="ar-SA"/>
        </w:rPr>
        <w:t xml:space="preserve"> </w:t>
      </w:r>
      <w:r>
        <w:rPr>
          <w:color w:val="auto"/>
          <w:spacing w:val="-2"/>
          <w:sz w:val="22"/>
          <w:szCs w:val="22"/>
          <w:lang w:eastAsia="ar-SA"/>
        </w:rPr>
        <w:t>с другой стороны, в дальнейшем совместно именуемые «Стороны», в порядке, предусмотренном пунктом 4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заключили настоящий Гражданско-правовой договор (далее – Договор) о нижеследующем:</w:t>
      </w:r>
    </w:p>
    <w:p>
      <w:pPr>
        <w:pStyle w:val="Normal"/>
        <w:jc w:val="both"/>
        <w:rPr>
          <w:rFonts w:ascii="Times New Roman" w:hAnsi="Times New Roman"/>
          <w:b/>
          <w:b/>
          <w:bCs/>
          <w:color w:val="auto"/>
          <w:sz w:val="22"/>
          <w:szCs w:val="22"/>
        </w:rPr>
      </w:pPr>
      <w:r>
        <w:rPr>
          <w:b/>
          <w:bCs/>
          <w:color w:val="auto"/>
          <w:sz w:val="22"/>
          <w:szCs w:val="22"/>
        </w:rPr>
      </w:r>
    </w:p>
    <w:p>
      <w:pPr>
        <w:pStyle w:val="Normal"/>
        <w:ind w:firstLine="567"/>
        <w:jc w:val="center"/>
        <w:rPr>
          <w:sz w:val="20"/>
          <w:szCs w:val="20"/>
        </w:rPr>
      </w:pPr>
      <w:r>
        <w:rPr>
          <w:b/>
          <w:bCs/>
          <w:color w:val="auto"/>
          <w:sz w:val="22"/>
          <w:szCs w:val="22"/>
        </w:rPr>
        <w:t>1. ПРЕДМЕТ ДОГОВОРА</w:t>
      </w:r>
    </w:p>
    <w:p>
      <w:pPr>
        <w:pStyle w:val="Normal"/>
        <w:ind w:firstLine="567"/>
        <w:jc w:val="both"/>
        <w:rPr/>
      </w:pPr>
      <w:r>
        <w:rPr>
          <w:color w:val="auto"/>
          <w:sz w:val="22"/>
          <w:szCs w:val="22"/>
        </w:rPr>
        <w:t>1.1. Поставщик обязуется передать в собственность Заказчика</w:t>
      </w:r>
      <w:r>
        <w:rPr>
          <w:b/>
          <w:bCs/>
          <w:color w:val="auto"/>
          <w:sz w:val="22"/>
          <w:szCs w:val="22"/>
          <w:lang w:eastAsia="ru-RU"/>
        </w:rPr>
        <w:t xml:space="preserve"> </w:t>
      </w:r>
      <w:r>
        <w:rPr>
          <w:b/>
          <w:bCs/>
          <w:color w:val="auto"/>
          <w:sz w:val="22"/>
          <w:szCs w:val="22"/>
          <w:lang w:eastAsia="ru-RU"/>
        </w:rPr>
        <w:t>полотенца бумажные</w:t>
      </w:r>
      <w:bookmarkStart w:id="1" w:name="__DdeLink__1032_1933082461"/>
      <w:bookmarkStart w:id="2" w:name="__DdeLink__382_2035400911"/>
      <w:r>
        <w:rPr>
          <w:b/>
          <w:bCs/>
          <w:color w:val="auto"/>
          <w:sz w:val="22"/>
          <w:szCs w:val="22"/>
          <w:lang w:eastAsia="ru-RU"/>
        </w:rPr>
        <w:t xml:space="preserve"> </w:t>
      </w:r>
      <w:bookmarkEnd w:id="1"/>
      <w:bookmarkEnd w:id="2"/>
      <w:r>
        <w:rPr>
          <w:color w:val="auto"/>
          <w:sz w:val="22"/>
          <w:szCs w:val="22"/>
        </w:rPr>
        <w:t>(далее – Товар), а Заказчик принять и оплатить Товар согласно спецификации (приложение № 1 к Договору), являющейся неотъемлемой частью настоящего Договора.</w:t>
      </w:r>
    </w:p>
    <w:p>
      <w:pPr>
        <w:pStyle w:val="Normal"/>
        <w:ind w:firstLine="567"/>
        <w:jc w:val="both"/>
        <w:rPr>
          <w:sz w:val="20"/>
          <w:szCs w:val="20"/>
        </w:rPr>
      </w:pPr>
      <w:r>
        <w:rPr>
          <w:color w:val="auto"/>
          <w:sz w:val="22"/>
          <w:szCs w:val="22"/>
        </w:rPr>
        <w:t>1.2. На момент передачи Заказчику Товара последний должен принадлежать Поставщику на праве собственности, не быть заложенным или арестованным, не являться предметом исков третьих лиц.</w:t>
      </w:r>
    </w:p>
    <w:p>
      <w:pPr>
        <w:pStyle w:val="Normal"/>
        <w:shd w:val="clear" w:color="auto" w:fill="FFFFFF"/>
        <w:tabs>
          <w:tab w:val="clear" w:pos="720"/>
          <w:tab w:val="left" w:pos="900" w:leader="none"/>
          <w:tab w:val="left" w:pos="926" w:leader="none"/>
        </w:tabs>
        <w:spacing w:lineRule="exact" w:line="272"/>
        <w:ind w:firstLine="567"/>
        <w:jc w:val="both"/>
        <w:rPr>
          <w:sz w:val="22"/>
          <w:szCs w:val="22"/>
        </w:rPr>
      </w:pPr>
      <w:r>
        <w:rPr>
          <w:color w:val="auto"/>
          <w:spacing w:val="-4"/>
          <w:sz w:val="22"/>
          <w:szCs w:val="22"/>
        </w:rPr>
        <w:t xml:space="preserve">1.3. Доставка, погрузочно-разгрузочные работы выполняются </w:t>
      </w:r>
      <w:r>
        <w:rPr>
          <w:color w:val="auto"/>
          <w:spacing w:val="-2"/>
          <w:sz w:val="22"/>
          <w:szCs w:val="22"/>
        </w:rPr>
        <w:t>силами и за счет Поставщика.</w:t>
      </w:r>
    </w:p>
    <w:p>
      <w:pPr>
        <w:pStyle w:val="Normal"/>
        <w:shd w:val="clear" w:color="auto" w:fill="FFFFFF"/>
        <w:tabs>
          <w:tab w:val="clear" w:pos="720"/>
          <w:tab w:val="left" w:pos="900" w:leader="none"/>
          <w:tab w:val="left" w:pos="926" w:leader="none"/>
        </w:tabs>
        <w:spacing w:lineRule="exact" w:line="272"/>
        <w:ind w:firstLine="567"/>
        <w:rPr>
          <w:rFonts w:ascii="Times New Roman" w:hAnsi="Times New Roman"/>
        </w:rPr>
      </w:pPr>
      <w:r>
        <w:rPr>
          <w:color w:val="auto"/>
          <w:spacing w:val="-4"/>
          <w:sz w:val="22"/>
          <w:szCs w:val="22"/>
        </w:rPr>
        <w:t xml:space="preserve">1.4.  ИКЗ: </w:t>
      </w:r>
      <w:r>
        <w:rPr>
          <w:rFonts w:eastAsia="Times New Roman" w:cs="Times New Roman"/>
          <w:b w:val="false"/>
          <w:i w:val="false"/>
          <w:caps w:val="false"/>
          <w:smallCaps w:val="false"/>
          <w:strike w:val="false"/>
          <w:dstrike w:val="false"/>
          <w:color w:val="000000"/>
          <w:spacing w:val="0"/>
          <w:kern w:val="0"/>
          <w:sz w:val="22"/>
          <w:szCs w:val="22"/>
          <w:u w:val="single"/>
          <w:lang w:val="ru-RU" w:eastAsia="zh-CN" w:bidi="ar-SA"/>
        </w:rPr>
        <w:t>262780207842078020100100260000000000</w:t>
      </w:r>
      <w:r>
        <w:rPr>
          <w:rFonts w:eastAsia="Times New Roman" w:cs="Times New Roman"/>
          <w:b w:val="false"/>
          <w:i w:val="false"/>
          <w:caps w:val="false"/>
          <w:smallCaps w:val="false"/>
          <w:strike w:val="false"/>
          <w:dstrike w:val="false"/>
          <w:color w:val="auto"/>
          <w:spacing w:val="-4"/>
          <w:kern w:val="0"/>
          <w:sz w:val="22"/>
          <w:szCs w:val="22"/>
          <w:u w:val="single"/>
          <w:lang w:val="ru-RU" w:eastAsia="zh-CN" w:bidi="ar-SA"/>
        </w:rPr>
        <w:t>.</w:t>
      </w:r>
    </w:p>
    <w:p>
      <w:pPr>
        <w:pStyle w:val="Normal"/>
        <w:shd w:val="clear" w:color="auto" w:fill="FFFFFF"/>
        <w:tabs>
          <w:tab w:val="clear" w:pos="720"/>
          <w:tab w:val="left" w:pos="900" w:leader="none"/>
          <w:tab w:val="left" w:pos="926" w:leader="none"/>
        </w:tabs>
        <w:spacing w:lineRule="exact" w:line="272"/>
        <w:ind w:firstLine="567"/>
        <w:jc w:val="both"/>
        <w:rPr>
          <w:color w:val="auto"/>
          <w:spacing w:val="-4"/>
          <w:sz w:val="22"/>
          <w:szCs w:val="22"/>
          <w:u w:val="single"/>
        </w:rPr>
      </w:pPr>
      <w:r>
        <w:rPr>
          <w:color w:val="auto"/>
          <w:spacing w:val="-4"/>
          <w:sz w:val="22"/>
          <w:szCs w:val="22"/>
          <w:u w:val="single"/>
        </w:rPr>
      </w:r>
    </w:p>
    <w:p>
      <w:pPr>
        <w:pStyle w:val="Normal"/>
        <w:ind w:firstLine="567"/>
        <w:jc w:val="center"/>
        <w:rPr>
          <w:sz w:val="20"/>
          <w:szCs w:val="20"/>
        </w:rPr>
      </w:pPr>
      <w:r>
        <w:rPr>
          <w:b/>
          <w:bCs/>
          <w:color w:val="auto"/>
          <w:sz w:val="22"/>
          <w:szCs w:val="22"/>
        </w:rPr>
        <w:t>2. ЦЕНА ДОГОВОРА</w:t>
      </w:r>
    </w:p>
    <w:p>
      <w:pPr>
        <w:pStyle w:val="Normal"/>
        <w:ind w:firstLine="567"/>
        <w:jc w:val="both"/>
        <w:rPr/>
      </w:pPr>
      <w:r>
        <w:rPr>
          <w:color w:val="auto"/>
          <w:sz w:val="22"/>
          <w:szCs w:val="22"/>
        </w:rPr>
        <w:t xml:space="preserve">2.1. Цена Договора в соответствии с Приложением № 1 составляет </w:t>
      </w:r>
      <w:r>
        <w:rPr>
          <w:rFonts w:eastAsia="Times New Roman" w:cs="Times New Roman"/>
          <w:b/>
          <w:bCs/>
          <w:i/>
          <w:iCs/>
          <w:color w:val="000000"/>
          <w:spacing w:val="-5"/>
          <w:sz w:val="22"/>
          <w:szCs w:val="22"/>
          <w:lang w:eastAsia="ar-SA"/>
        </w:rPr>
        <w:t>___________ (___________________) рублей ____ копеек, в том числе НДС ___ % - ________ (_____________________) рублей ____ копеек. (если НДС не облагается, указать основание.)</w:t>
      </w:r>
    </w:p>
    <w:p>
      <w:pPr>
        <w:pStyle w:val="Normal"/>
        <w:ind w:firstLine="567"/>
        <w:rPr>
          <w:color w:val="auto"/>
        </w:rPr>
      </w:pPr>
      <w:r>
        <w:rPr>
          <w:color w:val="auto"/>
          <w:sz w:val="22"/>
          <w:szCs w:val="22"/>
        </w:rPr>
        <w:t>2.2. Цена Договора включает в себя стоимость товара, упаковки и маркировки, доставку, погрузочно-разгрузочные работы, страхование, перевозку, таможенные пошлины, налоги, сборы и другие обязательные платежи.</w:t>
      </w:r>
    </w:p>
    <w:p>
      <w:pPr>
        <w:pStyle w:val="Normal"/>
        <w:ind w:firstLine="567"/>
        <w:jc w:val="both"/>
        <w:rPr>
          <w:sz w:val="20"/>
          <w:szCs w:val="20"/>
        </w:rPr>
      </w:pPr>
      <w:r>
        <w:rPr>
          <w:color w:val="auto"/>
          <w:sz w:val="22"/>
          <w:szCs w:val="22"/>
        </w:rPr>
        <w:t>2.3. Ц</w:t>
      </w:r>
      <w:r>
        <w:rPr>
          <w:rStyle w:val="F"/>
          <w:color w:val="auto"/>
          <w:sz w:val="22"/>
          <w:szCs w:val="22"/>
        </w:rPr>
        <w:t>ена</w:t>
      </w:r>
      <w:r>
        <w:rPr>
          <w:color w:val="auto"/>
          <w:sz w:val="22"/>
          <w:szCs w:val="22"/>
        </w:rPr>
        <w:t xml:space="preserve"> </w:t>
      </w:r>
      <w:r>
        <w:rPr>
          <w:rStyle w:val="F"/>
          <w:color w:val="auto"/>
          <w:sz w:val="22"/>
          <w:szCs w:val="22"/>
        </w:rPr>
        <w:t>Договора</w:t>
      </w:r>
      <w:r>
        <w:rPr>
          <w:color w:val="auto"/>
          <w:sz w:val="22"/>
          <w:szCs w:val="22"/>
        </w:rPr>
        <w:t xml:space="preserve"> является твердой и определяется на весь срок исполнения </w:t>
      </w:r>
      <w:r>
        <w:rPr>
          <w:rStyle w:val="F"/>
          <w:color w:val="auto"/>
          <w:sz w:val="22"/>
          <w:szCs w:val="22"/>
        </w:rPr>
        <w:t>Договора.</w:t>
      </w:r>
    </w:p>
    <w:p>
      <w:pPr>
        <w:pStyle w:val="Normal"/>
        <w:ind w:firstLine="567"/>
        <w:jc w:val="both"/>
        <w:rPr>
          <w:sz w:val="20"/>
          <w:szCs w:val="20"/>
        </w:rPr>
      </w:pPr>
      <w:r>
        <w:rPr>
          <w:color w:val="auto"/>
          <w:sz w:val="22"/>
          <w:szCs w:val="22"/>
        </w:rPr>
        <w:t>2.4. Цена Договора может быть изменена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Normal"/>
        <w:ind w:firstLine="567"/>
        <w:jc w:val="both"/>
        <w:rPr>
          <w:sz w:val="20"/>
          <w:szCs w:val="20"/>
        </w:rPr>
      </w:pPr>
      <w:r>
        <w:rPr>
          <w:color w:val="auto"/>
          <w:sz w:val="22"/>
          <w:szCs w:val="22"/>
        </w:rPr>
        <w:t>2.5. По соглашению Сторон цена Договора не может быть снижена без изменения, предусмотренных Договором количества товара и качества поставляемого товара и иных условий Договора.</w:t>
      </w:r>
    </w:p>
    <w:p>
      <w:pPr>
        <w:pStyle w:val="Normal"/>
        <w:ind w:firstLine="567"/>
        <w:jc w:val="both"/>
        <w:rPr>
          <w:sz w:val="20"/>
          <w:szCs w:val="20"/>
        </w:rPr>
      </w:pPr>
      <w:r>
        <w:rPr>
          <w:color w:val="auto"/>
          <w:sz w:val="22"/>
          <w:szCs w:val="22"/>
        </w:rPr>
        <w:t>2.6. Выплата аванса не предусмотрена.</w:t>
      </w:r>
    </w:p>
    <w:p>
      <w:pPr>
        <w:pStyle w:val="Normal"/>
        <w:ind w:firstLine="567"/>
        <w:jc w:val="both"/>
        <w:rPr>
          <w:color w:val="auto"/>
          <w:sz w:val="22"/>
          <w:szCs w:val="22"/>
        </w:rPr>
      </w:pPr>
      <w:r>
        <w:rPr>
          <w:color w:val="auto"/>
          <w:sz w:val="22"/>
          <w:szCs w:val="22"/>
        </w:rPr>
      </w:r>
    </w:p>
    <w:p>
      <w:pPr>
        <w:pStyle w:val="Normal"/>
        <w:ind w:firstLine="567"/>
        <w:jc w:val="center"/>
        <w:rPr>
          <w:sz w:val="20"/>
          <w:szCs w:val="20"/>
        </w:rPr>
      </w:pPr>
      <w:r>
        <w:rPr>
          <w:b/>
          <w:bCs/>
          <w:color w:val="auto"/>
          <w:sz w:val="22"/>
          <w:szCs w:val="22"/>
        </w:rPr>
        <w:t>3. ПОРЯДОК РАСЧЕТОВ</w:t>
      </w:r>
    </w:p>
    <w:p>
      <w:pPr>
        <w:pStyle w:val="Normal"/>
        <w:ind w:firstLine="567"/>
        <w:jc w:val="both"/>
        <w:rPr>
          <w:sz w:val="22"/>
          <w:szCs w:val="22"/>
        </w:rPr>
      </w:pPr>
      <w:r>
        <w:rPr>
          <w:color w:val="auto"/>
          <w:sz w:val="22"/>
          <w:szCs w:val="22"/>
        </w:rPr>
        <w:t>3.1. Заказчик оплачивает Поставщику на основании счета, товарной накладной по форме ТОРГ-12 (со ссылкой на дату и номер настоящего Договора), Акта приемки-передачи Товара Поставщика в течение 10 (десяти) рабочих дней с момента подписания Заказчиком Акта приемки-передачи Товара.</w:t>
      </w:r>
    </w:p>
    <w:p>
      <w:pPr>
        <w:pStyle w:val="Normal"/>
        <w:ind w:firstLine="567"/>
        <w:jc w:val="both"/>
        <w:rPr>
          <w:sz w:val="20"/>
          <w:szCs w:val="20"/>
        </w:rPr>
      </w:pPr>
      <w:r>
        <w:rPr>
          <w:color w:val="auto"/>
          <w:sz w:val="22"/>
          <w:szCs w:val="22"/>
        </w:rPr>
        <w:t>3.2. Расчеты между сторонами производятся в безналичном порядке путем перечисления денежных средств на расчетный счет Поставщика. Датой оплаты считается дата списания денежных средств с расчетного счета Заказчика.</w:t>
      </w:r>
    </w:p>
    <w:p>
      <w:pPr>
        <w:pStyle w:val="Normal"/>
        <w:ind w:firstLine="567"/>
        <w:jc w:val="both"/>
        <w:rPr/>
      </w:pPr>
      <w:r>
        <w:rPr>
          <w:color w:val="auto"/>
          <w:sz w:val="22"/>
          <w:szCs w:val="22"/>
        </w:rPr>
        <w:t>3.3. Оплата по Контракту осуществляется за счет внебюджетных средств на 2026 год.</w:t>
      </w:r>
    </w:p>
    <w:p>
      <w:pPr>
        <w:pStyle w:val="Normal"/>
        <w:ind w:firstLine="567"/>
        <w:jc w:val="center"/>
        <w:rPr>
          <w:b/>
          <w:b/>
          <w:bCs/>
          <w:color w:val="auto"/>
          <w:sz w:val="22"/>
          <w:szCs w:val="22"/>
        </w:rPr>
      </w:pPr>
      <w:r>
        <w:rPr>
          <w:b/>
          <w:bCs/>
          <w:color w:val="auto"/>
          <w:sz w:val="22"/>
          <w:szCs w:val="22"/>
        </w:rPr>
      </w:r>
    </w:p>
    <w:p>
      <w:pPr>
        <w:pStyle w:val="Normal"/>
        <w:ind w:firstLine="567"/>
        <w:jc w:val="center"/>
        <w:rPr>
          <w:sz w:val="20"/>
          <w:szCs w:val="20"/>
        </w:rPr>
      </w:pPr>
      <w:r>
        <w:rPr>
          <w:b/>
          <w:bCs/>
          <w:color w:val="auto"/>
          <w:sz w:val="22"/>
          <w:szCs w:val="22"/>
        </w:rPr>
        <w:t>4. МЕСТО, СРОКИ И УСЛОВИЯ ПОСТАВКИ</w:t>
      </w:r>
    </w:p>
    <w:p>
      <w:pPr>
        <w:pStyle w:val="Normal"/>
        <w:ind w:firstLine="567"/>
        <w:jc w:val="both"/>
        <w:rPr>
          <w:sz w:val="20"/>
          <w:szCs w:val="20"/>
        </w:rPr>
      </w:pPr>
      <w:r>
        <w:rPr>
          <w:color w:val="auto"/>
          <w:sz w:val="22"/>
          <w:szCs w:val="22"/>
        </w:rPr>
        <w:t>4.1. Местом поставки товара является СПб ГБУЗ «ГМПБ № 2», г. Санкт – Петербург, Учебный переулок д. 5, склад.</w:t>
      </w:r>
    </w:p>
    <w:p>
      <w:pPr>
        <w:pStyle w:val="Style22"/>
        <w:spacing w:before="0" w:after="3"/>
        <w:ind w:firstLine="540"/>
        <w:rPr/>
      </w:pPr>
      <w:r>
        <w:rPr>
          <w:color w:val="auto"/>
          <w:sz w:val="22"/>
          <w:szCs w:val="22"/>
        </w:rPr>
        <w:t>4.2. Поставщик обязуется поставить Товар, а также осуществить погрузочно-разгрузочные работы на основании заявки Заказчика. Срок п</w:t>
      </w:r>
      <w:r>
        <w:rPr>
          <w:color w:val="auto"/>
          <w:sz w:val="22"/>
          <w:szCs w:val="22"/>
          <w:highlight w:val="yellow"/>
        </w:rPr>
        <w:t>оставки – в течение 5 (пяти) рабочих дней с момента получения письменной заявки от Заказчика, с 9 часов 00 минут до 16 часов 00 минут.</w:t>
      </w:r>
    </w:p>
    <w:p>
      <w:pPr>
        <w:pStyle w:val="19"/>
        <w:ind w:firstLine="567"/>
        <w:jc w:val="both"/>
        <w:rPr>
          <w:sz w:val="22"/>
          <w:szCs w:val="22"/>
        </w:rPr>
      </w:pPr>
      <w:r>
        <w:rPr>
          <w:color w:val="auto"/>
          <w:sz w:val="22"/>
          <w:szCs w:val="22"/>
        </w:rPr>
        <w:t>4.3. Датой поставки товара считается дата подписания Заказчиком Акта приемки-передачи Товара.</w:t>
      </w:r>
    </w:p>
    <w:p>
      <w:pPr>
        <w:pStyle w:val="Normal"/>
        <w:ind w:firstLine="567"/>
        <w:jc w:val="both"/>
        <w:rPr>
          <w:sz w:val="20"/>
          <w:szCs w:val="20"/>
        </w:rPr>
      </w:pPr>
      <w:r>
        <w:rPr>
          <w:color w:val="auto"/>
          <w:sz w:val="22"/>
          <w:szCs w:val="22"/>
        </w:rPr>
        <w:t xml:space="preserve">4.4. Товар должен быть безопасным для жизни, здоровья, имущества потребителя и окружающей среды при обычных условиях его использования, хранения, транспортировки и утилизации (Закон Российской Федерации от 07.02.1992 № 2300-1 «О защите прав потребителей»). </w:t>
      </w:r>
    </w:p>
    <w:p>
      <w:pPr>
        <w:pStyle w:val="Normal"/>
        <w:ind w:firstLine="567"/>
        <w:jc w:val="both"/>
        <w:rPr/>
      </w:pPr>
      <w:r>
        <w:rPr>
          <w:color w:val="auto"/>
          <w:sz w:val="22"/>
          <w:szCs w:val="22"/>
        </w:rPr>
        <w:t xml:space="preserve">4.5. При исполнении договора (за исключением случаев, которые предусмотрены нормативными правовыми актами, принятыми в соответствии с </w:t>
      </w:r>
      <w:r>
        <w:fldChar w:fldCharType="begin"/>
      </w:r>
      <w:r>
        <w:rPr>
          <w:rStyle w:val="Style6"/>
          <w:sz w:val="22"/>
          <w:u w:val="none"/>
          <w:szCs w:val="22"/>
        </w:rPr>
        <w:instrText> HYPERLINK "http://www.consultant.ru/document/Cons_doc_LAW_144624/2c1e3551b4209a9fa5744534f7525ac7430624eb/" \l "dst108"</w:instrText>
      </w:r>
      <w:r>
        <w:rPr>
          <w:rStyle w:val="Style6"/>
          <w:sz w:val="22"/>
          <w:u w:val="none"/>
          <w:szCs w:val="22"/>
        </w:rPr>
        <w:fldChar w:fldCharType="separate"/>
      </w:r>
      <w:r>
        <w:rPr>
          <w:rStyle w:val="Style6"/>
          <w:color w:val="auto"/>
          <w:sz w:val="22"/>
          <w:szCs w:val="22"/>
          <w:u w:val="none"/>
        </w:rPr>
        <w:t>частью 6 статьи 14</w:t>
      </w:r>
      <w:r>
        <w:rPr>
          <w:rStyle w:val="Style6"/>
          <w:sz w:val="22"/>
          <w:u w:val="none"/>
          <w:szCs w:val="22"/>
        </w:rPr>
        <w:fldChar w:fldCharType="end"/>
      </w:r>
      <w:r>
        <w:rPr>
          <w:color w:val="auto"/>
          <w:sz w:val="22"/>
          <w:szCs w:val="22"/>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pPr>
        <w:pStyle w:val="Normal"/>
        <w:ind w:firstLine="426"/>
        <w:jc w:val="center"/>
        <w:rPr>
          <w:b/>
          <w:b/>
          <w:bCs/>
          <w:caps/>
          <w:color w:val="auto"/>
        </w:rPr>
      </w:pPr>
      <w:r>
        <w:rPr>
          <w:b/>
          <w:bCs/>
          <w:caps/>
          <w:color w:val="auto"/>
        </w:rPr>
      </w:r>
    </w:p>
    <w:p>
      <w:pPr>
        <w:pStyle w:val="Normal"/>
        <w:ind w:firstLine="426"/>
        <w:jc w:val="center"/>
        <w:rPr>
          <w:sz w:val="22"/>
          <w:szCs w:val="22"/>
        </w:rPr>
      </w:pPr>
      <w:r>
        <w:rPr>
          <w:b/>
          <w:bCs/>
          <w:caps/>
          <w:color w:val="auto"/>
          <w:sz w:val="22"/>
          <w:szCs w:val="22"/>
        </w:rPr>
        <w:t>5.  Права и обязанности сторон</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b/>
          <w:bCs/>
          <w:color w:val="auto"/>
          <w:sz w:val="22"/>
          <w:szCs w:val="22"/>
        </w:rPr>
        <w:t>5.1. Заказчик вправе:</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5.1.1. Требовать надлежащего исполнения обязательств в соответствии с Договором;</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5.1.2. Требовать представления надлежащим образом, оформленных отчетных и финансовых документов, подтверждающих исполнение обязательств в соответствии с Договором;</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5.1.3. Запрашивать информацию о ходе и состоянии исполнения обязательств по Договору;</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5.1.4. Осуществлять контроль за ходом, порядком, качеством и сроками поставки товара, не вмешиваясь в оперативно-хозяйственную деятельность Поставщика;</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5.1.5. Отказаться от принятия и оплаты товара, не соответствующих требованиям Договора;</w:t>
      </w:r>
    </w:p>
    <w:p>
      <w:pPr>
        <w:pStyle w:val="Normal"/>
        <w:shd w:val="clear" w:color="auto" w:fill="FFFFFF"/>
        <w:tabs>
          <w:tab w:val="clear" w:pos="720"/>
          <w:tab w:val="center" w:pos="9072" w:leader="dot"/>
          <w:tab w:val="left" w:pos="10440" w:leader="none"/>
        </w:tabs>
        <w:ind w:firstLine="567"/>
        <w:jc w:val="both"/>
        <w:rPr>
          <w:sz w:val="20"/>
          <w:szCs w:val="20"/>
        </w:rPr>
      </w:pPr>
      <w:r>
        <w:rPr>
          <w:color w:val="auto"/>
          <w:sz w:val="22"/>
          <w:szCs w:val="22"/>
        </w:rPr>
        <w:t>5.1.6. Потребовать возврата уплаченных сумм, в случае оплаты товара, не соответствующего требованиям Договора, до устранения выявленных недостатков, а также выплаты неустойки.</w:t>
      </w:r>
    </w:p>
    <w:p>
      <w:pPr>
        <w:pStyle w:val="Normal"/>
        <w:ind w:firstLine="567"/>
        <w:jc w:val="both"/>
        <w:rPr>
          <w:sz w:val="20"/>
          <w:szCs w:val="20"/>
        </w:rPr>
      </w:pPr>
      <w:r>
        <w:rPr>
          <w:color w:val="auto"/>
          <w:sz w:val="22"/>
          <w:szCs w:val="22"/>
        </w:rPr>
        <w:t>5.1.7. В случае поставки товара ненадлежащего качества или несоответствующего условиям договора Заказчик вправе потребовать безвозмездного устранения недостатков в срок, установленный Заказчиком.</w:t>
      </w:r>
    </w:p>
    <w:p>
      <w:pPr>
        <w:pStyle w:val="Normal"/>
        <w:shd w:val="clear" w:color="auto" w:fill="FFFFFF"/>
        <w:tabs>
          <w:tab w:val="clear" w:pos="720"/>
          <w:tab w:val="center" w:pos="9072" w:leader="dot"/>
          <w:tab w:val="left" w:pos="10440" w:leader="none"/>
        </w:tabs>
        <w:ind w:firstLine="567"/>
        <w:jc w:val="both"/>
        <w:rPr>
          <w:sz w:val="20"/>
          <w:szCs w:val="20"/>
        </w:rPr>
      </w:pPr>
      <w:r>
        <w:rPr>
          <w:color w:val="auto"/>
          <w:sz w:val="22"/>
          <w:szCs w:val="22"/>
        </w:rPr>
        <w:t>5.1.8. Отказаться от исполнения Договора по основаниям, установленным законодательством и настоящим Договором.</w:t>
      </w:r>
    </w:p>
    <w:p>
      <w:pPr>
        <w:pStyle w:val="Normal"/>
        <w:shd w:val="clear" w:color="auto" w:fill="FFFFFF"/>
        <w:tabs>
          <w:tab w:val="clear" w:pos="720"/>
          <w:tab w:val="center" w:pos="9072" w:leader="dot"/>
          <w:tab w:val="left" w:pos="10440" w:leader="none"/>
        </w:tabs>
        <w:ind w:firstLine="567"/>
        <w:rPr>
          <w:sz w:val="20"/>
          <w:szCs w:val="20"/>
        </w:rPr>
      </w:pPr>
      <w:r>
        <w:rPr>
          <w:b/>
          <w:bCs/>
          <w:color w:val="auto"/>
          <w:sz w:val="22"/>
          <w:szCs w:val="22"/>
        </w:rPr>
        <w:t>5.2. Заказчик обязан:</w:t>
      </w:r>
    </w:p>
    <w:p>
      <w:pPr>
        <w:pStyle w:val="Normal"/>
        <w:shd w:val="clear" w:color="auto" w:fill="FFFFFF"/>
        <w:tabs>
          <w:tab w:val="clear" w:pos="720"/>
          <w:tab w:val="center" w:pos="9072" w:leader="dot"/>
          <w:tab w:val="left" w:pos="10440" w:leader="none"/>
        </w:tabs>
        <w:ind w:firstLine="567"/>
        <w:jc w:val="both"/>
        <w:rPr>
          <w:sz w:val="20"/>
          <w:szCs w:val="20"/>
        </w:rPr>
      </w:pPr>
      <w:r>
        <w:rPr>
          <w:color w:val="auto"/>
          <w:sz w:val="22"/>
          <w:szCs w:val="22"/>
        </w:rPr>
        <w:t>5.2.1. Принять поставленный товар, в порядке и сроки, предусмотренные Договором.</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5.2.2. Оплатить поставленный Товар на условиях настоящего Договора.</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b/>
          <w:bCs/>
          <w:color w:val="auto"/>
          <w:sz w:val="22"/>
          <w:szCs w:val="22"/>
        </w:rPr>
        <w:t>5.3. Поставщик вправе:</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5.3.1. Требовать подписания документов об исполнении им обязательств по Договору от заказчика;</w:t>
      </w:r>
    </w:p>
    <w:p>
      <w:pPr>
        <w:pStyle w:val="Normal"/>
        <w:tabs>
          <w:tab w:val="clear" w:pos="720"/>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firstLine="567"/>
        <w:jc w:val="both"/>
        <w:rPr>
          <w:sz w:val="20"/>
          <w:szCs w:val="20"/>
        </w:rPr>
      </w:pPr>
      <w:r>
        <w:rPr>
          <w:color w:val="auto"/>
          <w:sz w:val="22"/>
          <w:szCs w:val="22"/>
        </w:rPr>
        <w:t>5.3.2. Требовать оплаты по Договору в случае надлежащего исполнения своих обязательств по Договору.</w:t>
      </w:r>
    </w:p>
    <w:p>
      <w:pPr>
        <w:pStyle w:val="Normal"/>
        <w:shd w:val="clear" w:color="auto" w:fill="FFFFFF"/>
        <w:tabs>
          <w:tab w:val="clear" w:pos="720"/>
          <w:tab w:val="center" w:pos="9072" w:leader="dot"/>
          <w:tab w:val="left" w:pos="10440" w:leader="none"/>
        </w:tabs>
        <w:ind w:firstLine="567"/>
        <w:jc w:val="both"/>
        <w:rPr>
          <w:sz w:val="20"/>
          <w:szCs w:val="20"/>
        </w:rPr>
      </w:pPr>
      <w:r>
        <w:rPr>
          <w:b/>
          <w:bCs/>
          <w:color w:val="auto"/>
          <w:sz w:val="22"/>
          <w:szCs w:val="22"/>
        </w:rPr>
        <w:t>5.4. Поставщик обязан:</w:t>
      </w:r>
    </w:p>
    <w:p>
      <w:pPr>
        <w:pStyle w:val="19"/>
        <w:shd w:val="clear" w:color="auto" w:fill="FFFFFF"/>
        <w:tabs>
          <w:tab w:val="clear" w:pos="720"/>
          <w:tab w:val="center" w:pos="9072" w:leader="none"/>
          <w:tab w:val="left" w:pos="10440" w:leader="none"/>
        </w:tabs>
        <w:ind w:firstLine="567"/>
        <w:jc w:val="both"/>
        <w:rPr>
          <w:sz w:val="20"/>
          <w:szCs w:val="16"/>
        </w:rPr>
      </w:pPr>
      <w:r>
        <w:rPr>
          <w:color w:val="auto"/>
          <w:sz w:val="22"/>
          <w:szCs w:val="22"/>
        </w:rPr>
        <w:t>5.4.1. Поставить товар, обеспечив надлежащее качество, в сроки, установленные Договором.</w:t>
      </w:r>
    </w:p>
    <w:p>
      <w:pPr>
        <w:pStyle w:val="18"/>
        <w:ind w:firstLine="567"/>
        <w:jc w:val="both"/>
        <w:rPr>
          <w:sz w:val="18"/>
          <w:szCs w:val="18"/>
        </w:rPr>
      </w:pPr>
      <w:r>
        <w:rPr>
          <w:rFonts w:cs="Times New Roman" w:ascii="Times New Roman" w:hAnsi="Times New Roman"/>
          <w:color w:val="auto"/>
        </w:rPr>
        <w:t>5.4.2. Представить по запросу заказчика в сроки, указанные в таком запросе, информацию о ходе исполнения обязательств по Договору;</w:t>
      </w:r>
    </w:p>
    <w:p>
      <w:pPr>
        <w:pStyle w:val="Normal"/>
        <w:shd w:val="clear" w:color="auto" w:fill="FFFFFF"/>
        <w:tabs>
          <w:tab w:val="clear" w:pos="720"/>
          <w:tab w:val="center" w:pos="9072" w:leader="dot"/>
          <w:tab w:val="left" w:pos="10440" w:leader="none"/>
        </w:tabs>
        <w:ind w:firstLine="567"/>
        <w:jc w:val="both"/>
        <w:rPr>
          <w:sz w:val="20"/>
          <w:szCs w:val="20"/>
        </w:rPr>
      </w:pPr>
      <w:r>
        <w:rPr>
          <w:color w:val="auto"/>
          <w:sz w:val="22"/>
          <w:szCs w:val="22"/>
        </w:rPr>
        <w:t>5.4.3. Передать надлежащим образом оформленные отчетные и финансовые документы в порядке и срок, установленные Договором.</w:t>
      </w:r>
    </w:p>
    <w:p>
      <w:pPr>
        <w:pStyle w:val="Normal"/>
        <w:shd w:val="clear" w:color="auto" w:fill="FFFFFF"/>
        <w:tabs>
          <w:tab w:val="clear" w:pos="720"/>
          <w:tab w:val="center" w:pos="9072" w:leader="dot"/>
          <w:tab w:val="left" w:pos="10440" w:leader="none"/>
        </w:tabs>
        <w:ind w:firstLine="567"/>
        <w:jc w:val="both"/>
        <w:rPr>
          <w:sz w:val="20"/>
          <w:szCs w:val="20"/>
        </w:rPr>
      </w:pPr>
      <w:r>
        <w:rPr>
          <w:color w:val="auto"/>
          <w:sz w:val="22"/>
          <w:szCs w:val="22"/>
        </w:rPr>
        <w:t xml:space="preserve">5.4.4. Не раскрывать третьим лицам без письменного согласия заказчика количество, объем, характер поставки товара и условия оплаты. </w:t>
      </w:r>
    </w:p>
    <w:p>
      <w:pPr>
        <w:pStyle w:val="Normal"/>
        <w:shd w:val="clear" w:color="auto" w:fill="FFFFFF"/>
        <w:tabs>
          <w:tab w:val="clear" w:pos="720"/>
          <w:tab w:val="center" w:pos="9072" w:leader="dot"/>
          <w:tab w:val="left" w:pos="10440" w:leader="none"/>
        </w:tabs>
        <w:ind w:firstLine="567"/>
        <w:jc w:val="both"/>
        <w:rPr>
          <w:sz w:val="20"/>
          <w:szCs w:val="20"/>
        </w:rPr>
      </w:pPr>
      <w:r>
        <w:rPr>
          <w:color w:val="auto"/>
          <w:sz w:val="22"/>
          <w:szCs w:val="22"/>
        </w:rPr>
        <w:t>5.4.5. Соблюдать конфиденциальность в отношении всей информации, ставшей известной в связи с исполнением обязательств по Договору.</w:t>
      </w:r>
    </w:p>
    <w:p>
      <w:pPr>
        <w:pStyle w:val="Normal"/>
        <w:ind w:firstLine="567"/>
        <w:jc w:val="both"/>
        <w:rPr>
          <w:sz w:val="20"/>
          <w:szCs w:val="20"/>
        </w:rPr>
      </w:pPr>
      <w:r>
        <w:rPr>
          <w:color w:val="auto"/>
          <w:sz w:val="22"/>
          <w:szCs w:val="22"/>
        </w:rPr>
        <w:t>5.4.6. За свой счет и своими силами устранить недостатки, допущенные по вине Поставщика, в сроки, установленные Заказчиком, как в период поставки Товара, так и в гарантийный период.</w:t>
      </w:r>
    </w:p>
    <w:p>
      <w:pPr>
        <w:pStyle w:val="Normal"/>
        <w:ind w:firstLine="567"/>
        <w:jc w:val="both"/>
        <w:rPr/>
      </w:pPr>
      <w:r>
        <w:rPr>
          <w:b w:val="false"/>
          <w:bCs w:val="false"/>
          <w:color w:val="auto"/>
          <w:sz w:val="22"/>
          <w:szCs w:val="22"/>
          <w:lang w:eastAsia="ar-SA"/>
        </w:rPr>
        <w:t xml:space="preserve">5.4.7. Предоставить данные лица, ответственного за прием заявок от Заказчика и подтверждение Заказчику их приема в течение 1 (одного) рабочего дня с момента заключения Договора, </w:t>
      </w:r>
      <w:r>
        <w:rPr>
          <w:rFonts w:eastAsia="Times New Roman" w:cs="Times New Roman"/>
          <w:b w:val="false"/>
          <w:bCs w:val="false"/>
          <w:color w:val="0000FF"/>
          <w:kern w:val="2"/>
          <w:sz w:val="22"/>
          <w:szCs w:val="22"/>
          <w:lang w:eastAsia="ar-SA"/>
        </w:rPr>
        <w:t>____________</w:t>
      </w:r>
      <w:r>
        <w:rPr>
          <w:rFonts w:eastAsia="Times New Roman" w:cs="Times New Roman"/>
          <w:b w:val="false"/>
          <w:bCs w:val="false"/>
          <w:color w:val="auto"/>
          <w:kern w:val="2"/>
          <w:sz w:val="22"/>
          <w:szCs w:val="22"/>
          <w:lang w:eastAsia="ar-SA"/>
        </w:rPr>
        <w:t>.</w:t>
      </w:r>
    </w:p>
    <w:p>
      <w:pPr>
        <w:pStyle w:val="Normal"/>
        <w:shd w:val="clear" w:color="auto" w:fill="FFFFFF"/>
        <w:tabs>
          <w:tab w:val="clear" w:pos="720"/>
          <w:tab w:val="center" w:pos="9072" w:leader="dot"/>
          <w:tab w:val="left" w:pos="10440" w:leader="none"/>
        </w:tabs>
        <w:ind w:firstLine="567"/>
        <w:jc w:val="both"/>
        <w:rPr>
          <w:sz w:val="22"/>
          <w:szCs w:val="22"/>
        </w:rPr>
      </w:pPr>
      <w:r>
        <w:rPr>
          <w:color w:val="auto"/>
          <w:sz w:val="22"/>
          <w:szCs w:val="22"/>
        </w:rPr>
        <w:t>5.4.8. Выполнить иные обязанности, предусмотренные законом, иными правовыми актами или настоящим Договором.</w:t>
      </w:r>
    </w:p>
    <w:p>
      <w:pPr>
        <w:pStyle w:val="Normal"/>
        <w:ind w:firstLine="567"/>
        <w:jc w:val="center"/>
        <w:rPr>
          <w:b/>
          <w:b/>
          <w:bCs/>
          <w:color w:val="auto"/>
          <w:sz w:val="22"/>
          <w:szCs w:val="22"/>
        </w:rPr>
      </w:pPr>
      <w:r>
        <w:rPr>
          <w:b/>
          <w:bCs/>
          <w:color w:val="auto"/>
          <w:sz w:val="22"/>
          <w:szCs w:val="22"/>
        </w:rPr>
      </w:r>
    </w:p>
    <w:p>
      <w:pPr>
        <w:pStyle w:val="Normal"/>
        <w:keepNext w:val="true"/>
        <w:ind w:firstLine="567"/>
        <w:jc w:val="center"/>
        <w:rPr>
          <w:sz w:val="20"/>
          <w:szCs w:val="20"/>
        </w:rPr>
      </w:pPr>
      <w:r>
        <w:rPr>
          <w:b/>
          <w:bCs/>
          <w:color w:val="auto"/>
          <w:sz w:val="22"/>
          <w:szCs w:val="22"/>
        </w:rPr>
        <w:t>6. ПОРЯДОК СДАЧИ И ПРИЕМКИ ТОВАРА</w:t>
      </w:r>
    </w:p>
    <w:p>
      <w:pPr>
        <w:pStyle w:val="Normal"/>
        <w:ind w:firstLine="567"/>
        <w:jc w:val="both"/>
        <w:rPr>
          <w:sz w:val="20"/>
          <w:szCs w:val="20"/>
        </w:rPr>
      </w:pPr>
      <w:r>
        <w:rPr>
          <w:color w:val="auto"/>
          <w:sz w:val="22"/>
          <w:szCs w:val="22"/>
        </w:rPr>
        <w:t xml:space="preserve">6.1. Передача Товара осуществляется Поставщиком лицу, уполномоченному на то Заказчиком. Товар, переданный не уполномоченному лицу, считается не поставленным и оплате не подлежит. </w:t>
      </w:r>
    </w:p>
    <w:p>
      <w:pPr>
        <w:pStyle w:val="Normal"/>
        <w:ind w:firstLine="567"/>
        <w:jc w:val="both"/>
        <w:rPr>
          <w:sz w:val="20"/>
          <w:szCs w:val="20"/>
        </w:rPr>
      </w:pPr>
      <w:r>
        <w:rPr>
          <w:color w:val="auto"/>
          <w:sz w:val="22"/>
          <w:szCs w:val="22"/>
        </w:rPr>
        <w:t>6.2. Приемка товара производится Заказчиком на основании Акта приемки-передачи Товара, в течении 3 (трех) рабочих дней с момента получения от Поставщика документов, предусмотренных п. 6.9. Договора.</w:t>
      </w:r>
    </w:p>
    <w:p>
      <w:pPr>
        <w:pStyle w:val="Normal"/>
        <w:ind w:firstLine="567"/>
        <w:jc w:val="both"/>
        <w:rPr>
          <w:sz w:val="20"/>
          <w:szCs w:val="20"/>
        </w:rPr>
      </w:pPr>
      <w:r>
        <w:rPr>
          <w:color w:val="auto"/>
          <w:sz w:val="22"/>
          <w:szCs w:val="22"/>
        </w:rPr>
        <w:t>6.3. В случае выявления несоответствия поставляемых Товаров условиям настоящего Договора, устранение недостатков, поставка недостающего или замена некачественного (негодного) Товара осуществляются Поставщиком за счет собственных средств на основании письменной претензии Заказчика. В претензии должно быть указание на Товар, по которому заявлена претензия, содержание и основание претензии, а также конкретное требование Заказчика и срок устранения недостатков. Претензия должна быть подтверждена актами и иными необходимыми документами. Претензия передается лично, заказным письмом или курьерской доставкой с вручением уполномоченному представителю Поставщика под расписку и с приложением всех документов. Товар считается не поставленным.</w:t>
      </w:r>
    </w:p>
    <w:p>
      <w:pPr>
        <w:pStyle w:val="Normal"/>
        <w:ind w:firstLine="567"/>
        <w:jc w:val="both"/>
        <w:rPr>
          <w:sz w:val="20"/>
          <w:szCs w:val="20"/>
        </w:rPr>
      </w:pPr>
      <w:r>
        <w:rPr>
          <w:color w:val="auto"/>
          <w:sz w:val="22"/>
          <w:szCs w:val="22"/>
        </w:rPr>
        <w:t>6.4. В случае выявления Заказчиком указанных в пункте 6.3. настоящего Договора нарушений после приемки товара, Заказчик уведомляет об этом Поставщика в письменной форме по факсу и приглашает уполномоченных представителей Поставщика явиться в адрес Заказчика для составления акта. Товар считается не поставленным.</w:t>
      </w:r>
    </w:p>
    <w:p>
      <w:pPr>
        <w:pStyle w:val="Normal"/>
        <w:shd w:val="clear" w:color="auto" w:fill="FFFFFF"/>
        <w:tabs>
          <w:tab w:val="clear" w:pos="720"/>
          <w:tab w:val="left" w:pos="403" w:leader="none"/>
        </w:tabs>
        <w:ind w:firstLine="567"/>
        <w:jc w:val="both"/>
        <w:rPr>
          <w:sz w:val="20"/>
          <w:szCs w:val="20"/>
        </w:rPr>
      </w:pPr>
      <w:r>
        <w:rPr>
          <w:color w:val="auto"/>
          <w:sz w:val="22"/>
          <w:szCs w:val="22"/>
        </w:rPr>
        <w:t>6.5. Заказчик вправе, уведомив Поставщика, отказаться от принятия и оплаты некомплектных Товаров и Товаров ненадлежащего качества.</w:t>
      </w:r>
    </w:p>
    <w:p>
      <w:pPr>
        <w:pStyle w:val="Normal"/>
        <w:shd w:val="clear" w:color="auto" w:fill="FFFFFF"/>
        <w:tabs>
          <w:tab w:val="clear" w:pos="720"/>
          <w:tab w:val="left" w:pos="475" w:leader="none"/>
        </w:tabs>
        <w:ind w:firstLine="567"/>
        <w:jc w:val="both"/>
        <w:rPr>
          <w:sz w:val="22"/>
          <w:szCs w:val="22"/>
        </w:rPr>
      </w:pPr>
      <w:r>
        <w:rPr>
          <w:color w:val="auto"/>
          <w:sz w:val="22"/>
          <w:szCs w:val="22"/>
        </w:rPr>
        <w:t>6.6. Поставщик обязан выполнить допоставку или замену некомплектного Товара и (или) Товара ненадлежащего качества в течение срока, указанного в Претензии.</w:t>
      </w:r>
    </w:p>
    <w:p>
      <w:pPr>
        <w:pStyle w:val="Normal"/>
        <w:ind w:firstLine="567"/>
        <w:jc w:val="both"/>
        <w:rPr>
          <w:sz w:val="20"/>
          <w:szCs w:val="20"/>
        </w:rPr>
      </w:pPr>
      <w:r>
        <w:rPr>
          <w:color w:val="auto"/>
          <w:sz w:val="22"/>
          <w:szCs w:val="22"/>
        </w:rPr>
        <w:t>6.7. В смысле настоящего Договора Стороны его определили, что право собственности на Товар переходит от Поставщика к Заказчику с момента подписания Заказчиком Акта приемки-передачи Товара.</w:t>
      </w:r>
    </w:p>
    <w:p>
      <w:pPr>
        <w:pStyle w:val="Normal"/>
        <w:ind w:firstLine="567"/>
        <w:jc w:val="both"/>
        <w:rPr>
          <w:sz w:val="20"/>
          <w:szCs w:val="20"/>
        </w:rPr>
      </w:pPr>
      <w:r>
        <w:rPr>
          <w:color w:val="auto"/>
          <w:sz w:val="22"/>
          <w:szCs w:val="22"/>
        </w:rPr>
        <w:t>6.8.  Стороны согласились, что Поставщик вправе осуществить досрочную поставку товара при наличии у него письменного (письмо, телетайп, факс, телеграмма и т.п.) согласия Заказчика. Ответственность за возможные последствия несогласованной с заказчиком досрочной поставки партии товара по Договору несет Поставщик.</w:t>
      </w:r>
    </w:p>
    <w:p>
      <w:pPr>
        <w:pStyle w:val="Normal"/>
        <w:ind w:firstLine="567"/>
        <w:jc w:val="both"/>
        <w:rPr>
          <w:sz w:val="22"/>
          <w:szCs w:val="22"/>
        </w:rPr>
      </w:pPr>
      <w:r>
        <w:rPr>
          <w:color w:val="auto"/>
          <w:sz w:val="22"/>
          <w:szCs w:val="22"/>
          <w:highlight w:val="yellow"/>
        </w:rPr>
        <w:t>6.9. Поставщик одновременно с каждой поставкой товара передает Заказчику счет, счет-фактуру, товарную накладную, акт приема-передачи товара, заверенные в установленном законом порядке, сертификаты, декларации соответствия.</w:t>
      </w:r>
    </w:p>
    <w:p>
      <w:pPr>
        <w:pStyle w:val="Normal"/>
        <w:ind w:firstLine="567"/>
        <w:jc w:val="both"/>
        <w:rPr>
          <w:sz w:val="20"/>
          <w:szCs w:val="20"/>
        </w:rPr>
      </w:pPr>
      <w:r>
        <w:rPr>
          <w:color w:val="auto"/>
          <w:sz w:val="22"/>
          <w:szCs w:val="22"/>
        </w:rPr>
        <w:t>6.10. Поставщик гарантирует, что условия хранения товара на складе и условия доставки полностью соответствуют действующим нормативам и законодательным актам в отношении товара данного вида и установленному температурному режиму.</w:t>
      </w:r>
    </w:p>
    <w:p>
      <w:pPr>
        <w:pStyle w:val="Normal"/>
        <w:ind w:firstLine="567"/>
        <w:jc w:val="both"/>
        <w:rPr>
          <w:sz w:val="20"/>
          <w:szCs w:val="20"/>
        </w:rPr>
      </w:pPr>
      <w:r>
        <w:rPr>
          <w:color w:val="auto"/>
          <w:sz w:val="22"/>
          <w:szCs w:val="22"/>
        </w:rPr>
        <w:t xml:space="preserve">6.11. Для проверки соответствия качества поставляемого товара требованиям, установленным законодательством РФ и настоящим Договором, Заказчик вправе привлекать независимых экспертов. </w:t>
      </w:r>
    </w:p>
    <w:p>
      <w:pPr>
        <w:pStyle w:val="Normal"/>
        <w:ind w:firstLine="567"/>
        <w:jc w:val="both"/>
        <w:rPr>
          <w:sz w:val="20"/>
          <w:szCs w:val="20"/>
        </w:rPr>
      </w:pPr>
      <w:r>
        <w:rPr>
          <w:color w:val="auto"/>
          <w:sz w:val="22"/>
          <w:szCs w:val="22"/>
        </w:rPr>
        <w:t>6.12. Сдача и приемка Товара осуществляется в соответствии с требованиями положений Федерального закона от 05.04.2013 № 44-ФЗ «О контрактной системе в сфере закупок товаров, работ, услуг для обеспечения государственных и муниципальных нужд» и другими нормативными документами.</w:t>
      </w:r>
    </w:p>
    <w:p>
      <w:pPr>
        <w:pStyle w:val="Normal"/>
        <w:ind w:firstLine="567"/>
        <w:jc w:val="both"/>
        <w:rPr>
          <w:color w:val="auto"/>
          <w:sz w:val="22"/>
          <w:szCs w:val="22"/>
        </w:rPr>
      </w:pPr>
      <w:r>
        <w:rPr>
          <w:color w:val="auto"/>
          <w:sz w:val="22"/>
          <w:szCs w:val="22"/>
        </w:rPr>
      </w:r>
    </w:p>
    <w:p>
      <w:pPr>
        <w:pStyle w:val="Normal"/>
        <w:ind w:firstLine="567"/>
        <w:jc w:val="center"/>
        <w:rPr>
          <w:sz w:val="20"/>
          <w:szCs w:val="20"/>
        </w:rPr>
      </w:pPr>
      <w:r>
        <w:rPr>
          <w:b/>
          <w:bCs/>
          <w:color w:val="auto"/>
          <w:sz w:val="22"/>
          <w:szCs w:val="22"/>
        </w:rPr>
        <w:t>7. ГАРАНТИЯ НА ТОВАР</w:t>
      </w:r>
    </w:p>
    <w:p>
      <w:pPr>
        <w:pStyle w:val="Normal"/>
        <w:ind w:firstLine="567"/>
        <w:jc w:val="both"/>
        <w:rPr>
          <w:sz w:val="20"/>
          <w:szCs w:val="20"/>
        </w:rPr>
      </w:pPr>
      <w:r>
        <w:rPr>
          <w:color w:val="auto"/>
          <w:sz w:val="22"/>
          <w:szCs w:val="22"/>
        </w:rPr>
        <w:t>7.1. Поставщик настоящим гарантирует, что товар, поставленный в рамках настоящего Договора, является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pPr>
        <w:pStyle w:val="Normal"/>
        <w:ind w:firstLine="567"/>
        <w:jc w:val="both"/>
        <w:rPr>
          <w:sz w:val="20"/>
          <w:szCs w:val="20"/>
        </w:rPr>
      </w:pPr>
      <w:r>
        <w:rPr>
          <w:color w:val="auto"/>
          <w:sz w:val="22"/>
          <w:szCs w:val="22"/>
        </w:rPr>
        <w:t xml:space="preserve">7.2. Поставщик гарантирует, что поставляемый товар не будет иметь дефектов, связанных с конструкцией, материалами или функционированием, при штатном использовании поставленного товара в соответствии со спецификацией и техническими требованиями. </w:t>
      </w:r>
    </w:p>
    <w:p>
      <w:pPr>
        <w:pStyle w:val="Normal"/>
        <w:ind w:firstLine="567"/>
        <w:jc w:val="both"/>
        <w:rPr>
          <w:sz w:val="22"/>
          <w:szCs w:val="22"/>
        </w:rPr>
      </w:pPr>
      <w:r>
        <w:rPr>
          <w:color w:val="auto"/>
          <w:sz w:val="22"/>
          <w:szCs w:val="22"/>
        </w:rPr>
        <w:t>7.3. Гарантийный срок на поставленный Товар составляет 12 (двенадцать) месяцев с момента подписания Заказчиком Акта приемки-передачи Товара.</w:t>
      </w:r>
    </w:p>
    <w:p>
      <w:pPr>
        <w:pStyle w:val="Normal"/>
        <w:ind w:firstLine="567"/>
        <w:jc w:val="both"/>
        <w:rPr>
          <w:sz w:val="20"/>
          <w:szCs w:val="20"/>
        </w:rPr>
      </w:pPr>
      <w:r>
        <w:rPr>
          <w:color w:val="auto"/>
          <w:sz w:val="22"/>
          <w:szCs w:val="22"/>
        </w:rPr>
        <w:t xml:space="preserve">7.4. В случае поломки или выхода из строя товара в течение гарантийного срока, Заказчик вправе предъявить Поставщику письменную претензию об этом. Поставщик обязан в срок, установленный Заказчиком осуществить замену дефектного товара. </w:t>
      </w:r>
    </w:p>
    <w:p>
      <w:pPr>
        <w:pStyle w:val="Normal"/>
        <w:ind w:firstLine="567"/>
        <w:jc w:val="both"/>
        <w:rPr>
          <w:sz w:val="20"/>
          <w:szCs w:val="20"/>
        </w:rPr>
      </w:pPr>
      <w:r>
        <w:rPr>
          <w:color w:val="auto"/>
          <w:sz w:val="22"/>
          <w:szCs w:val="22"/>
        </w:rPr>
        <w:t xml:space="preserve">7.5. Замена дефектного Товара осуществляется силами и за счет средств Поставщика. </w:t>
      </w:r>
    </w:p>
    <w:p>
      <w:pPr>
        <w:pStyle w:val="25"/>
        <w:spacing w:lineRule="auto" w:line="240" w:before="0" w:after="0"/>
        <w:ind w:firstLine="540"/>
        <w:jc w:val="both"/>
        <w:rPr>
          <w:rFonts w:ascii="Times New Roman" w:hAnsi="Times New Roman" w:cs="Times New Roman"/>
          <w:color w:val="auto"/>
          <w:sz w:val="22"/>
          <w:szCs w:val="22"/>
          <w:lang w:val="ru-RU"/>
        </w:rPr>
      </w:pPr>
      <w:r>
        <w:rPr>
          <w:rFonts w:cs="Times New Roman" w:ascii="Times New Roman" w:hAnsi="Times New Roman"/>
          <w:color w:val="auto"/>
          <w:sz w:val="22"/>
          <w:szCs w:val="22"/>
          <w:lang w:val="ru-RU"/>
        </w:rPr>
      </w:r>
    </w:p>
    <w:p>
      <w:pPr>
        <w:pStyle w:val="Normal"/>
        <w:ind w:firstLine="567"/>
        <w:jc w:val="center"/>
        <w:rPr>
          <w:sz w:val="20"/>
          <w:szCs w:val="20"/>
        </w:rPr>
      </w:pPr>
      <w:r>
        <w:rPr>
          <w:b/>
          <w:bCs/>
          <w:color w:val="auto"/>
          <w:sz w:val="22"/>
          <w:szCs w:val="22"/>
        </w:rPr>
        <w:t>8. ТРЕБОВАНИЯ К ТАРЕ И УПАКОВКЕ</w:t>
      </w:r>
    </w:p>
    <w:p>
      <w:pPr>
        <w:pStyle w:val="Normal"/>
        <w:ind w:firstLine="567"/>
        <w:jc w:val="both"/>
        <w:rPr>
          <w:sz w:val="20"/>
          <w:szCs w:val="20"/>
        </w:rPr>
      </w:pPr>
      <w:r>
        <w:rPr>
          <w:color w:val="auto"/>
          <w:sz w:val="22"/>
          <w:szCs w:val="22"/>
        </w:rPr>
        <w:t>8.1. Поставка товара должна осуществляется в оригинальной заводской упаковке, обеспечивающей его сохранность.</w:t>
      </w:r>
    </w:p>
    <w:p>
      <w:pPr>
        <w:pStyle w:val="Normal"/>
        <w:ind w:firstLine="567"/>
        <w:jc w:val="both"/>
        <w:rPr>
          <w:sz w:val="20"/>
          <w:szCs w:val="20"/>
        </w:rPr>
      </w:pPr>
      <w:r>
        <w:rPr>
          <w:color w:val="auto"/>
          <w:sz w:val="22"/>
          <w:szCs w:val="22"/>
        </w:rPr>
        <w:t>8.2. Вся упаковка должна соответствовать требованиям действующих нормативных актов Российской Федерации.</w:t>
      </w:r>
    </w:p>
    <w:p>
      <w:pPr>
        <w:pStyle w:val="Normal"/>
        <w:ind w:firstLine="567"/>
        <w:jc w:val="both"/>
        <w:rPr>
          <w:color w:val="auto"/>
          <w:sz w:val="22"/>
          <w:szCs w:val="22"/>
        </w:rPr>
      </w:pPr>
      <w:r>
        <w:rPr>
          <w:color w:val="auto"/>
          <w:sz w:val="22"/>
          <w:szCs w:val="22"/>
        </w:rPr>
      </w:r>
    </w:p>
    <w:p>
      <w:pPr>
        <w:pStyle w:val="Normal"/>
        <w:ind w:firstLine="567"/>
        <w:jc w:val="center"/>
        <w:rPr>
          <w:sz w:val="20"/>
          <w:szCs w:val="20"/>
        </w:rPr>
      </w:pPr>
      <w:r>
        <w:rPr>
          <w:b/>
          <w:bCs/>
          <w:color w:val="auto"/>
          <w:sz w:val="22"/>
          <w:szCs w:val="22"/>
        </w:rPr>
        <w:t>9. ОТВЕТСТВЕННОСТЬ СТОРОН</w:t>
      </w:r>
    </w:p>
    <w:p>
      <w:pPr>
        <w:pStyle w:val="Normal"/>
        <w:ind w:firstLine="567"/>
        <w:jc w:val="both"/>
        <w:rPr>
          <w:sz w:val="20"/>
          <w:szCs w:val="20"/>
        </w:rPr>
      </w:pPr>
      <w:r>
        <w:rPr>
          <w:color w:val="auto"/>
          <w:sz w:val="22"/>
          <w:szCs w:val="22"/>
        </w:rPr>
        <w:t>9.1. За неисполнение или ненадлежащее исполнение обязательств, предусмотренных Договором стороны несут ответственность, предусмотренную действующим законодательством РФ и настоящим Договором.</w:t>
      </w:r>
    </w:p>
    <w:p>
      <w:pPr>
        <w:pStyle w:val="Normal"/>
        <w:ind w:firstLine="567"/>
        <w:jc w:val="both"/>
        <w:rPr>
          <w:sz w:val="20"/>
          <w:szCs w:val="20"/>
        </w:rPr>
      </w:pPr>
      <w:r>
        <w:rPr>
          <w:color w:val="auto"/>
          <w:sz w:val="22"/>
          <w:szCs w:val="22"/>
        </w:rPr>
        <w:t>9.2. В случае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Поставщик обязан выплатить Заказчику штраф в размере 10 % цены Договора.</w:t>
      </w:r>
    </w:p>
    <w:p>
      <w:pPr>
        <w:pStyle w:val="Normal"/>
        <w:ind w:firstLine="567"/>
        <w:jc w:val="both"/>
        <w:rPr>
          <w:sz w:val="20"/>
          <w:szCs w:val="20"/>
        </w:rPr>
      </w:pPr>
      <w:r>
        <w:rPr>
          <w:color w:val="auto"/>
          <w:sz w:val="22"/>
          <w:szCs w:val="22"/>
        </w:rPr>
        <w:t xml:space="preserve">9.3. В случае нарушения Поставщиком сроков исполнения обязательств, предусмотренных Договором, в том числе срока гарантийного обязательства, срока, указанного в претензии (акте) устранения выявленных нарушений обязательств Поставщиком по настоящему Договору </w:t>
      </w:r>
      <w:r>
        <w:rPr>
          <w:color w:val="auto"/>
          <w:kern w:val="2"/>
          <w:sz w:val="22"/>
          <w:szCs w:val="22"/>
        </w:rPr>
        <w:t>(</w:t>
      </w:r>
      <w:r>
        <w:rPr>
          <w:color w:val="auto"/>
          <w:sz w:val="22"/>
          <w:szCs w:val="22"/>
        </w:rPr>
        <w:t xml:space="preserve">просрочка исполнения обязательства), Поставщик уплачивает Заказчику пени. Пеня начисляется за каждый день просрочки исполнения поставщиком обязательства, предусмотренного Договором, и устанавливается в размере одной трехсотой действующей на дату уплаты пени ключевой ставки Центрального банка Российской Федерации от цены Договора. </w:t>
      </w:r>
    </w:p>
    <w:p>
      <w:pPr>
        <w:pStyle w:val="Normal"/>
        <w:ind w:firstLine="567"/>
        <w:jc w:val="both"/>
        <w:rPr>
          <w:sz w:val="20"/>
          <w:szCs w:val="20"/>
        </w:rPr>
      </w:pPr>
      <w:r>
        <w:rPr>
          <w:color w:val="auto"/>
          <w:sz w:val="22"/>
          <w:szCs w:val="22"/>
        </w:rPr>
        <w:t>9.4. При выявлении нарушений условий поставки по качеству и/или ассортименту, и/или количеству товара Поставщик на основании письменной претензии выплачивает Заказчику штраф в размере 10 % от суммы недопоставленного товара.</w:t>
      </w:r>
      <w:bookmarkStart w:id="3" w:name="_GoBack"/>
      <w:bookmarkEnd w:id="3"/>
    </w:p>
    <w:p>
      <w:pPr>
        <w:pStyle w:val="Normal"/>
        <w:ind w:firstLine="547"/>
        <w:jc w:val="both"/>
        <w:rPr>
          <w:sz w:val="20"/>
          <w:szCs w:val="20"/>
        </w:rPr>
      </w:pPr>
      <w:r>
        <w:rPr>
          <w:color w:val="auto"/>
          <w:sz w:val="22"/>
          <w:szCs w:val="22"/>
        </w:rPr>
        <w:t>9.5.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pPr>
        <w:pStyle w:val="Normal"/>
        <w:ind w:firstLine="547"/>
        <w:jc w:val="both"/>
        <w:rPr>
          <w:sz w:val="20"/>
          <w:szCs w:val="20"/>
        </w:rPr>
      </w:pPr>
      <w:r>
        <w:rPr>
          <w:color w:val="auto"/>
          <w:sz w:val="22"/>
          <w:szCs w:val="22"/>
        </w:rPr>
        <w:t>9.6.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 Поставщик вправе потребовать уплаты штрафа в размере одной трехсотой действующей на дату уплаты штрафа ключевой ставки Центрального банка Российской Федерации от цены Договора.</w:t>
      </w:r>
    </w:p>
    <w:p>
      <w:pPr>
        <w:pStyle w:val="Normal"/>
        <w:ind w:firstLine="567"/>
        <w:jc w:val="both"/>
        <w:rPr>
          <w:sz w:val="20"/>
          <w:szCs w:val="20"/>
        </w:rPr>
      </w:pPr>
      <w:r>
        <w:rPr>
          <w:color w:val="auto"/>
          <w:sz w:val="22"/>
          <w:szCs w:val="22"/>
        </w:rPr>
        <w:t xml:space="preserve">9.7. В соответствии с положениями ст. 410 ГК РФ Заказчик имеет право прекратить обязательство зачетом встречного однородного требования, срок которого наступил, то есть выплатить Поставщику по Договору сумму, уменьшенную на величину неустойки (пени, штрафа), в случае неисполнения и/или ненадлежащего исполнения Поставщиком обязательств по настоящему Договору.  </w:t>
      </w:r>
    </w:p>
    <w:p>
      <w:pPr>
        <w:pStyle w:val="Normal"/>
        <w:ind w:firstLine="567"/>
        <w:jc w:val="both"/>
        <w:rPr>
          <w:sz w:val="20"/>
          <w:szCs w:val="20"/>
        </w:rPr>
      </w:pPr>
      <w:r>
        <w:rPr>
          <w:color w:val="auto"/>
          <w:sz w:val="22"/>
          <w:szCs w:val="22"/>
        </w:rPr>
        <w:t>9.8. Во всех случаях уплаты Поставщиком неустойки, он не освобождается от исполнения обязательства в натуре.</w:t>
      </w:r>
    </w:p>
    <w:p>
      <w:pPr>
        <w:pStyle w:val="Normal"/>
        <w:shd w:val="clear" w:color="auto" w:fill="FFFFFF"/>
        <w:ind w:right="40" w:firstLine="567"/>
        <w:jc w:val="both"/>
        <w:rPr>
          <w:sz w:val="20"/>
          <w:szCs w:val="20"/>
        </w:rPr>
      </w:pPr>
      <w:r>
        <w:rPr>
          <w:color w:val="auto"/>
          <w:sz w:val="22"/>
          <w:szCs w:val="22"/>
        </w:rPr>
        <w:t>9.9. Все санкции, содержащиеся в настоящем Договоре, могут быть взысканы с Поставщика одновременно.</w:t>
      </w:r>
    </w:p>
    <w:p>
      <w:pPr>
        <w:pStyle w:val="Normal"/>
        <w:shd w:val="clear" w:color="auto" w:fill="FFFFFF"/>
        <w:ind w:right="40" w:firstLine="567"/>
        <w:jc w:val="both"/>
        <w:rPr>
          <w:sz w:val="20"/>
          <w:szCs w:val="20"/>
        </w:rPr>
      </w:pPr>
      <w:r>
        <w:rPr>
          <w:color w:val="auto"/>
          <w:sz w:val="22"/>
          <w:szCs w:val="22"/>
        </w:rPr>
        <w:t>9.10. Во всех случаях нарушения Поставщиком своих обязательств по Договору, Заказчик вправе приостановить оплату товара вплоть до оплаты Поставщиком неустойки, предусмотренной законодательством РФ и/или настоящим Договором.</w:t>
      </w:r>
    </w:p>
    <w:p>
      <w:pPr>
        <w:pStyle w:val="Normal"/>
        <w:ind w:firstLine="567"/>
        <w:jc w:val="both"/>
        <w:rPr>
          <w:color w:val="auto"/>
          <w:sz w:val="22"/>
          <w:szCs w:val="22"/>
        </w:rPr>
      </w:pPr>
      <w:r>
        <w:rPr>
          <w:color w:val="auto"/>
          <w:sz w:val="22"/>
          <w:szCs w:val="22"/>
        </w:rPr>
      </w:r>
    </w:p>
    <w:p>
      <w:pPr>
        <w:pStyle w:val="Normal"/>
        <w:ind w:firstLine="567"/>
        <w:jc w:val="center"/>
        <w:rPr>
          <w:sz w:val="20"/>
          <w:szCs w:val="20"/>
        </w:rPr>
      </w:pPr>
      <w:r>
        <w:rPr>
          <w:b/>
          <w:bCs/>
          <w:color w:val="auto"/>
          <w:sz w:val="22"/>
          <w:szCs w:val="22"/>
        </w:rPr>
        <w:t>10. ФОРС-МАЖОР, ПОРЯДОК РАЗРЕШЕНИЯ СПОРОВ</w:t>
      </w:r>
    </w:p>
    <w:p>
      <w:pPr>
        <w:pStyle w:val="Normal"/>
        <w:ind w:firstLine="567"/>
        <w:jc w:val="both"/>
        <w:rPr>
          <w:sz w:val="20"/>
          <w:szCs w:val="20"/>
        </w:rPr>
      </w:pPr>
      <w:r>
        <w:rPr>
          <w:color w:val="auto"/>
          <w:sz w:val="22"/>
          <w:szCs w:val="22"/>
        </w:rPr>
        <w:t>10.1. Стороны освобождаются от ответственности за полное или частичное неисполнение обязательств по настоящему Договору, если это неисполнение явилось следствием обстоятельств непреодолимой силы, возникших после его заключения, в результате событий чрезвычайного характера, наступление которых сторона, не исполнившая обязательства полностью или частично, не могла ни предвидеть, ни предотвратить разумными методами.</w:t>
      </w:r>
    </w:p>
    <w:p>
      <w:pPr>
        <w:pStyle w:val="Normal"/>
        <w:ind w:firstLine="567"/>
        <w:jc w:val="both"/>
        <w:rPr>
          <w:sz w:val="20"/>
          <w:szCs w:val="20"/>
        </w:rPr>
      </w:pPr>
      <w:r>
        <w:rPr>
          <w:color w:val="auto"/>
          <w:sz w:val="22"/>
          <w:szCs w:val="22"/>
        </w:rPr>
        <w:t>10.2. При наступлении указанных в пункте 10.1. обстоятельств сторона по настоящему Договору, для которой создалась невозможность исполнения ее обязательств, должна известить о них в письменном виде другую сторону с приложениями соответствующих доказательств в семидневный срок со дня наступления этих обстоятельств.</w:t>
      </w:r>
    </w:p>
    <w:p>
      <w:pPr>
        <w:pStyle w:val="Normal"/>
        <w:ind w:firstLine="567"/>
        <w:jc w:val="both"/>
        <w:rPr>
          <w:sz w:val="20"/>
          <w:szCs w:val="20"/>
        </w:rPr>
      </w:pPr>
      <w:r>
        <w:rPr>
          <w:color w:val="auto"/>
          <w:sz w:val="22"/>
          <w:szCs w:val="22"/>
        </w:rPr>
        <w:t>10.3. Все споры, возникающие в процессе исполнения настоящего Договора, стороны будут стремиться разрешать претензионным путем в порядке досудебного разбирательства: посредством переговоров, обмена письмами, уточнением условий Договора, составлением необходимых протоколов, дополнений и изменений, обмена телеграммами, факсами и др. При этом каждая из сторон вправе претендовать на наличие у нее в письменном виде результатов разрешения возникших вопросов.</w:t>
      </w:r>
    </w:p>
    <w:p>
      <w:pPr>
        <w:pStyle w:val="Normal"/>
        <w:ind w:firstLine="567"/>
        <w:jc w:val="both"/>
        <w:rPr>
          <w:sz w:val="20"/>
          <w:szCs w:val="20"/>
        </w:rPr>
      </w:pPr>
      <w:r>
        <w:rPr>
          <w:color w:val="auto"/>
          <w:sz w:val="22"/>
          <w:szCs w:val="22"/>
        </w:rPr>
        <w:t>10.4. При не достижении взаимоприемлемого решения стороны передают спор на рассмотрение Арбитражного суда Санкт-Петербурга и Ленинградской области.</w:t>
      </w:r>
    </w:p>
    <w:p>
      <w:pPr>
        <w:pStyle w:val="Normal"/>
        <w:ind w:firstLine="567"/>
        <w:jc w:val="both"/>
        <w:rPr>
          <w:color w:val="auto"/>
          <w:sz w:val="22"/>
          <w:szCs w:val="22"/>
        </w:rPr>
      </w:pPr>
      <w:r>
        <w:rPr>
          <w:color w:val="auto"/>
          <w:sz w:val="22"/>
          <w:szCs w:val="22"/>
        </w:rPr>
      </w:r>
    </w:p>
    <w:p>
      <w:pPr>
        <w:pStyle w:val="Normal"/>
        <w:ind w:firstLine="567"/>
        <w:jc w:val="center"/>
        <w:rPr>
          <w:b/>
          <w:b/>
          <w:bCs/>
          <w:color w:val="auto"/>
          <w:sz w:val="22"/>
          <w:szCs w:val="22"/>
        </w:rPr>
      </w:pPr>
      <w:r>
        <w:rPr>
          <w:b/>
          <w:bCs/>
          <w:color w:val="auto"/>
          <w:sz w:val="22"/>
          <w:szCs w:val="22"/>
        </w:rPr>
      </w:r>
      <w:r>
        <w:br w:type="page"/>
      </w:r>
    </w:p>
    <w:p>
      <w:pPr>
        <w:pStyle w:val="Normal"/>
        <w:ind w:firstLine="567"/>
        <w:jc w:val="center"/>
        <w:rPr/>
      </w:pPr>
      <w:r>
        <w:rPr>
          <w:b/>
          <w:bCs/>
          <w:color w:val="auto"/>
          <w:sz w:val="22"/>
          <w:szCs w:val="22"/>
        </w:rPr>
        <w:t>11. ПРОЧИЕ УСЛОВИЯ</w:t>
      </w:r>
    </w:p>
    <w:p>
      <w:pPr>
        <w:pStyle w:val="Normal"/>
        <w:ind w:firstLine="567"/>
        <w:jc w:val="both"/>
        <w:rPr/>
      </w:pPr>
      <w:r>
        <w:rPr>
          <w:color w:val="auto"/>
          <w:sz w:val="22"/>
          <w:szCs w:val="22"/>
        </w:rPr>
        <w:t>11.1. Настоящий Договор вступает в силу с момента его заключения Сторонами и действует по 31 декабря 2026 г., а в части гарантийных обязательств и расчетов - до полного исполнения обязательств Сторонами.</w:t>
      </w:r>
    </w:p>
    <w:p>
      <w:pPr>
        <w:pStyle w:val="Normal"/>
        <w:ind w:firstLine="567"/>
        <w:jc w:val="both"/>
        <w:rPr>
          <w:sz w:val="20"/>
          <w:szCs w:val="20"/>
        </w:rPr>
      </w:pPr>
      <w:r>
        <w:rPr>
          <w:color w:val="auto"/>
          <w:sz w:val="22"/>
          <w:szCs w:val="22"/>
        </w:rPr>
        <w:t>11.2. При исполнении Договора не допускается перемена Поставщика, за исключением случаев, если новый Поставщик является правопреемником Поставщика по настоящему Договору вследствие реорганизации юридического лица в форме преобразования, слияния или присоединения.</w:t>
      </w:r>
    </w:p>
    <w:p>
      <w:pPr>
        <w:pStyle w:val="Normal"/>
        <w:ind w:firstLine="567"/>
        <w:jc w:val="both"/>
        <w:rPr>
          <w:sz w:val="20"/>
          <w:szCs w:val="20"/>
        </w:rPr>
      </w:pPr>
      <w:r>
        <w:rPr>
          <w:color w:val="auto"/>
          <w:sz w:val="22"/>
          <w:szCs w:val="22"/>
        </w:rPr>
        <w:t>11.3. Вопросы, не урегулированные настоящим Договором, регулируются действующим законодательством Российской Федерации.</w:t>
      </w:r>
    </w:p>
    <w:p>
      <w:pPr>
        <w:pStyle w:val="Normal"/>
        <w:ind w:firstLine="567"/>
        <w:jc w:val="both"/>
        <w:rPr>
          <w:sz w:val="20"/>
          <w:szCs w:val="20"/>
        </w:rPr>
      </w:pPr>
      <w:r>
        <w:rPr>
          <w:color w:val="auto"/>
          <w:sz w:val="22"/>
          <w:szCs w:val="22"/>
        </w:rPr>
        <w:t>11.4. Все изменения и дополнения к настоящему Договору действительны, если они оформлены Сторонами в качестве дополнительных соглашений, являющихся неотъемлемой частью настоящего Договора.</w:t>
      </w:r>
    </w:p>
    <w:p>
      <w:pPr>
        <w:pStyle w:val="Normal"/>
        <w:ind w:firstLine="567"/>
        <w:jc w:val="both"/>
        <w:rPr>
          <w:sz w:val="20"/>
          <w:szCs w:val="20"/>
        </w:rPr>
      </w:pPr>
      <w:r>
        <w:rPr>
          <w:color w:val="auto"/>
          <w:sz w:val="22"/>
          <w:szCs w:val="22"/>
        </w:rPr>
        <w:t xml:space="preserve">11.5. Расторжение настоящего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w:t>
      </w:r>
      <w:r>
        <w:rPr>
          <w:rStyle w:val="Style6"/>
          <w:color w:val="auto"/>
          <w:sz w:val="22"/>
          <w:szCs w:val="22"/>
          <w:u w:val="none"/>
        </w:rPr>
        <w:t>законодательством</w:t>
      </w:r>
      <w:r>
        <w:rPr>
          <w:color w:val="auto"/>
          <w:sz w:val="22"/>
          <w:szCs w:val="22"/>
        </w:rPr>
        <w:t xml:space="preserve"> РФ.</w:t>
      </w:r>
    </w:p>
    <w:p>
      <w:pPr>
        <w:pStyle w:val="Normal"/>
        <w:spacing w:lineRule="atLeast" w:line="241"/>
        <w:ind w:firstLine="567"/>
        <w:jc w:val="both"/>
        <w:rPr>
          <w:sz w:val="20"/>
          <w:szCs w:val="20"/>
        </w:rPr>
      </w:pPr>
      <w:r>
        <w:rPr>
          <w:color w:val="auto"/>
          <w:sz w:val="22"/>
          <w:szCs w:val="22"/>
        </w:rPr>
        <w:t>11.6. В случае неисполнения или ненадлежащего исполнения Поставщиком своих обязательств по Договору Заказчик вправе расторгнуть настоящий Договор в одностороннем порядке (односторонний отказ от исполнения Договора), путем направления письменного уведомления Поставщику.</w:t>
      </w:r>
    </w:p>
    <w:p>
      <w:pPr>
        <w:pStyle w:val="Normal"/>
        <w:widowControl w:val="false"/>
        <w:shd w:val="clear" w:color="auto" w:fill="FFFFFF"/>
        <w:ind w:firstLine="567"/>
        <w:jc w:val="both"/>
        <w:rPr>
          <w:sz w:val="20"/>
          <w:szCs w:val="20"/>
        </w:rPr>
      </w:pPr>
      <w:r>
        <w:rPr>
          <w:color w:val="auto"/>
          <w:sz w:val="22"/>
          <w:szCs w:val="22"/>
        </w:rPr>
        <w:t>11.7.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pPr>
        <w:pStyle w:val="Normal"/>
        <w:ind w:firstLine="567"/>
        <w:jc w:val="both"/>
        <w:rPr>
          <w:sz w:val="20"/>
          <w:szCs w:val="20"/>
        </w:rPr>
      </w:pPr>
      <w:r>
        <w:rPr>
          <w:color w:val="auto"/>
          <w:sz w:val="22"/>
          <w:szCs w:val="22"/>
        </w:rPr>
        <w:t xml:space="preserve">11.8. Заказчик вправе отказаться от исполнения настоящего Договора в случаях, установленных действующим законодательством РФ и настоящим Договором. </w:t>
      </w:r>
    </w:p>
    <w:p>
      <w:pPr>
        <w:pStyle w:val="Normal"/>
        <w:ind w:firstLine="567"/>
        <w:jc w:val="both"/>
        <w:rPr>
          <w:sz w:val="22"/>
          <w:szCs w:val="22"/>
        </w:rPr>
      </w:pPr>
      <w:r>
        <w:rPr>
          <w:color w:val="auto"/>
          <w:sz w:val="22"/>
          <w:szCs w:val="22"/>
        </w:rPr>
        <w:t>11.9. Расчеты между сторонами за выполненные до расторжения Договора поставки производятся на основании акта сверки взаиморасчетов, составленного с учетом произведенных Заказчиком к моменту прекращения Договора платежей, а также сумм, подлежащих взысканию с Поставщика в качестве неустойки и/или компенсации причиненных Заказчику убытков, в случае нарушения Поставщиком условий настоящего Договора.</w:t>
      </w:r>
    </w:p>
    <w:p>
      <w:pPr>
        <w:pStyle w:val="Normal"/>
        <w:ind w:firstLine="567"/>
        <w:jc w:val="both"/>
        <w:rPr>
          <w:sz w:val="20"/>
          <w:szCs w:val="20"/>
        </w:rPr>
      </w:pPr>
      <w:r>
        <w:rPr>
          <w:color w:val="auto"/>
          <w:sz w:val="22"/>
          <w:szCs w:val="22"/>
        </w:rPr>
        <w:t>11.10. Истечение срока действия Договора не освобождает Стороны от исполнения обязательств, возникших в период действия Договора, а также от ответственности за его нарушение.</w:t>
      </w:r>
    </w:p>
    <w:p>
      <w:pPr>
        <w:pStyle w:val="Normal"/>
        <w:ind w:firstLine="567"/>
        <w:jc w:val="both"/>
        <w:rPr>
          <w:sz w:val="20"/>
          <w:szCs w:val="20"/>
        </w:rPr>
      </w:pPr>
      <w:r>
        <w:rPr>
          <w:color w:val="auto"/>
          <w:sz w:val="22"/>
          <w:szCs w:val="22"/>
        </w:rPr>
        <w:t xml:space="preserve">11.11. Настоящий Договор имеет одинаковую юридическую силу для каждой из Сторон. </w:t>
      </w:r>
    </w:p>
    <w:p>
      <w:pPr>
        <w:pStyle w:val="Normal"/>
        <w:ind w:firstLine="567"/>
        <w:jc w:val="both"/>
        <w:rPr>
          <w:sz w:val="20"/>
          <w:szCs w:val="20"/>
        </w:rPr>
      </w:pPr>
      <w:r>
        <w:rPr>
          <w:color w:val="auto"/>
          <w:sz w:val="22"/>
          <w:szCs w:val="22"/>
        </w:rPr>
        <w:t xml:space="preserve">11.12. Все приложения к Договору являются его неотъемлемой частью. </w:t>
      </w:r>
    </w:p>
    <w:p>
      <w:pPr>
        <w:pStyle w:val="Normal"/>
        <w:ind w:firstLine="567"/>
        <w:jc w:val="both"/>
        <w:rPr>
          <w:sz w:val="18"/>
          <w:szCs w:val="18"/>
        </w:rPr>
      </w:pPr>
      <w:r>
        <w:rPr>
          <w:color w:val="auto"/>
          <w:sz w:val="22"/>
          <w:szCs w:val="22"/>
        </w:rPr>
        <w:t>- Приложение № 1 Спецификация;</w:t>
      </w:r>
    </w:p>
    <w:p>
      <w:pPr>
        <w:pStyle w:val="Normal"/>
        <w:ind w:left="113" w:firstLine="454"/>
        <w:jc w:val="both"/>
        <w:rPr>
          <w:sz w:val="18"/>
          <w:szCs w:val="18"/>
        </w:rPr>
      </w:pPr>
      <w:r>
        <w:rPr>
          <w:color w:val="auto"/>
          <w:sz w:val="22"/>
          <w:szCs w:val="22"/>
        </w:rPr>
        <w:t>- Приложение № 2 Акт приема-передачи товара.</w:t>
      </w:r>
    </w:p>
    <w:p>
      <w:pPr>
        <w:pStyle w:val="Normal"/>
        <w:ind w:firstLine="567"/>
        <w:jc w:val="both"/>
        <w:rPr>
          <w:color w:val="auto"/>
          <w:sz w:val="22"/>
          <w:szCs w:val="22"/>
        </w:rPr>
      </w:pPr>
      <w:r>
        <w:rPr>
          <w:color w:val="auto"/>
          <w:sz w:val="22"/>
          <w:szCs w:val="22"/>
        </w:rPr>
      </w:r>
    </w:p>
    <w:p>
      <w:pPr>
        <w:pStyle w:val="Normal"/>
        <w:spacing w:before="120" w:after="0"/>
        <w:jc w:val="center"/>
        <w:rPr>
          <w:b/>
          <w:b/>
          <w:caps/>
          <w:color w:val="auto"/>
        </w:rPr>
      </w:pPr>
      <w:r>
        <w:rPr>
          <w:b/>
          <w:caps/>
          <w:color w:val="auto"/>
        </w:rPr>
      </w:r>
      <w:r>
        <w:br w:type="page"/>
      </w:r>
    </w:p>
    <w:p>
      <w:pPr>
        <w:pStyle w:val="Normal"/>
        <w:spacing w:before="120" w:after="0"/>
        <w:jc w:val="center"/>
        <w:rPr/>
      </w:pPr>
      <w:r>
        <w:rPr>
          <w:b/>
          <w:caps/>
          <w:color w:val="auto"/>
          <w:sz w:val="22"/>
          <w:szCs w:val="22"/>
        </w:rPr>
        <w:t>12.</w:t>
      </w:r>
      <w:r>
        <w:rPr>
          <w:b/>
          <w:color w:val="auto"/>
          <w:sz w:val="22"/>
          <w:szCs w:val="22"/>
        </w:rPr>
        <w:t xml:space="preserve"> РЕКВИЗИТЫ СТОРОН</w:t>
      </w:r>
    </w:p>
    <w:tbl>
      <w:tblPr>
        <w:tblW w:w="10219" w:type="dxa"/>
        <w:jc w:val="left"/>
        <w:tblInd w:w="377" w:type="dxa"/>
        <w:tblCellMar>
          <w:top w:w="28" w:type="dxa"/>
          <w:left w:w="28" w:type="dxa"/>
          <w:bottom w:w="28" w:type="dxa"/>
          <w:right w:w="28" w:type="dxa"/>
        </w:tblCellMar>
        <w:tblLook w:firstRow="0" w:noVBand="0" w:lastRow="0" w:firstColumn="0" w:lastColumn="0" w:noHBand="0" w:val="0000"/>
      </w:tblPr>
      <w:tblGrid>
        <w:gridCol w:w="5152"/>
        <w:gridCol w:w="5066"/>
      </w:tblGrid>
      <w:tr>
        <w:trPr>
          <w:trHeight w:val="2277" w:hRule="atLeast"/>
        </w:trPr>
        <w:tc>
          <w:tcPr>
            <w:tcW w:w="5152" w:type="dxa"/>
            <w:tcBorders/>
            <w:shd w:color="auto" w:fill="auto" w:val="clear"/>
          </w:tcPr>
          <w:p>
            <w:pPr>
              <w:pStyle w:val="Normal"/>
              <w:snapToGrid w:val="false"/>
              <w:jc w:val="center"/>
              <w:rPr/>
            </w:pPr>
            <w:r>
              <w:rPr>
                <w:color w:val="auto"/>
                <w:sz w:val="22"/>
                <w:szCs w:val="22"/>
              </w:rPr>
              <w:t>ЗАКАЗЧИК:</w:t>
            </w:r>
          </w:p>
          <w:p>
            <w:pPr>
              <w:pStyle w:val="Normal"/>
              <w:rPr/>
            </w:pPr>
            <w:r>
              <w:rPr>
                <w:sz w:val="22"/>
                <w:szCs w:val="22"/>
                <w:lang w:eastAsia="ar-SA"/>
              </w:rPr>
              <w:t xml:space="preserve">Санкт-Петербургское государственное бюджетное учреждение здравоохранения «Городская многопрофильная больница № 2» </w:t>
            </w:r>
          </w:p>
          <w:p>
            <w:pPr>
              <w:pStyle w:val="Normal"/>
              <w:rPr/>
            </w:pPr>
            <w:r>
              <w:rPr>
                <w:sz w:val="22"/>
                <w:szCs w:val="22"/>
                <w:lang w:eastAsia="ar-SA"/>
              </w:rPr>
              <w:t>(СПб ГБУЗ «ГМПБ № 2»)</w:t>
            </w:r>
          </w:p>
          <w:p>
            <w:pPr>
              <w:pStyle w:val="Normal"/>
              <w:rPr/>
            </w:pPr>
            <w:r>
              <w:rPr>
                <w:sz w:val="22"/>
                <w:szCs w:val="22"/>
                <w:lang w:eastAsia="ar-SA"/>
              </w:rPr>
              <w:t>194354, Санкт-Петербург, Учебный пер.5</w:t>
            </w:r>
          </w:p>
          <w:p>
            <w:pPr>
              <w:pStyle w:val="Normal"/>
              <w:rPr/>
            </w:pPr>
            <w:r>
              <w:rPr>
                <w:sz w:val="22"/>
                <w:szCs w:val="22"/>
                <w:lang w:eastAsia="ar-SA"/>
              </w:rPr>
              <w:t>Тел./факс: (812) 338-48-20</w:t>
            </w:r>
          </w:p>
          <w:p>
            <w:pPr>
              <w:pStyle w:val="Normal"/>
              <w:rPr>
                <w:sz w:val="22"/>
                <w:szCs w:val="22"/>
              </w:rPr>
            </w:pPr>
            <w:r>
              <w:rPr>
                <w:sz w:val="22"/>
                <w:szCs w:val="22"/>
                <w:lang w:eastAsia="ar-SA"/>
              </w:rPr>
              <w:t>Е-</w:t>
            </w:r>
            <w:r>
              <w:rPr>
                <w:sz w:val="22"/>
                <w:szCs w:val="22"/>
                <w:lang w:val="en-US" w:eastAsia="ar-SA"/>
              </w:rPr>
              <w:t>mail</w:t>
            </w:r>
            <w:r>
              <w:rPr>
                <w:sz w:val="22"/>
                <w:szCs w:val="22"/>
                <w:lang w:eastAsia="ar-SA"/>
              </w:rPr>
              <w:t xml:space="preserve">: </w:t>
            </w:r>
            <w:r>
              <w:rPr>
                <w:sz w:val="22"/>
                <w:szCs w:val="22"/>
                <w:lang w:val="en-US" w:eastAsia="ar-SA"/>
              </w:rPr>
              <w:t>b</w:t>
            </w:r>
            <w:r>
              <w:rPr>
                <w:sz w:val="22"/>
                <w:szCs w:val="22"/>
                <w:lang w:eastAsia="ar-SA"/>
              </w:rPr>
              <w:t>2@</w:t>
            </w:r>
            <w:r>
              <w:rPr>
                <w:sz w:val="22"/>
                <w:szCs w:val="22"/>
                <w:lang w:val="en-US" w:eastAsia="ar-SA"/>
              </w:rPr>
              <w:t>zdrav</w:t>
            </w:r>
            <w:r>
              <w:rPr>
                <w:sz w:val="22"/>
                <w:szCs w:val="22"/>
                <w:lang w:eastAsia="ar-SA"/>
              </w:rPr>
              <w:t>.</w:t>
            </w:r>
            <w:r>
              <w:rPr>
                <w:sz w:val="22"/>
                <w:szCs w:val="22"/>
                <w:lang w:val="en-US" w:eastAsia="ar-SA"/>
              </w:rPr>
              <w:t>spb</w:t>
            </w:r>
            <w:r>
              <w:rPr>
                <w:sz w:val="22"/>
                <w:szCs w:val="22"/>
                <w:lang w:eastAsia="ar-SA"/>
              </w:rPr>
              <w:t>.</w:t>
            </w:r>
            <w:r>
              <w:rPr>
                <w:sz w:val="22"/>
                <w:szCs w:val="22"/>
                <w:lang w:val="en-US" w:eastAsia="ar-SA"/>
              </w:rPr>
              <w:t>ru</w:t>
            </w:r>
          </w:p>
          <w:p>
            <w:pPr>
              <w:pStyle w:val="Normal"/>
              <w:rPr>
                <w:sz w:val="22"/>
                <w:szCs w:val="22"/>
              </w:rPr>
            </w:pPr>
            <w:r>
              <w:rPr>
                <w:sz w:val="22"/>
                <w:szCs w:val="22"/>
                <w:lang w:eastAsia="ar-SA"/>
              </w:rPr>
              <w:t>ИНН 7802078420   КПП   780201001</w:t>
            </w:r>
          </w:p>
          <w:p>
            <w:pPr>
              <w:pStyle w:val="Normal"/>
              <w:rPr>
                <w:sz w:val="22"/>
                <w:szCs w:val="22"/>
              </w:rPr>
            </w:pPr>
            <w:r>
              <w:rPr>
                <w:sz w:val="22"/>
                <w:szCs w:val="22"/>
                <w:lang w:eastAsia="ar-SA"/>
              </w:rPr>
              <w:t>Комитет финансов Санкт-Петербурга (СПб ГБУЗ «ГМПБ №2», лиц/счет 0151126)</w:t>
            </w:r>
          </w:p>
          <w:p>
            <w:pPr>
              <w:pStyle w:val="Normal"/>
              <w:rPr>
                <w:sz w:val="22"/>
                <w:szCs w:val="22"/>
              </w:rPr>
            </w:pPr>
            <w:r>
              <w:rPr>
                <w:sz w:val="22"/>
                <w:szCs w:val="22"/>
                <w:lang w:eastAsia="ar-SA"/>
              </w:rPr>
              <w:t>Кор/с 40102810945</w:t>
            </w:r>
            <w:r>
              <w:rPr>
                <w:color w:val="auto"/>
                <w:sz w:val="22"/>
                <w:szCs w:val="22"/>
                <w:lang w:eastAsia="ar-SA"/>
              </w:rPr>
              <w:t>370000005</w:t>
            </w:r>
          </w:p>
          <w:p>
            <w:pPr>
              <w:pStyle w:val="Normal"/>
              <w:rPr>
                <w:sz w:val="22"/>
                <w:szCs w:val="22"/>
              </w:rPr>
            </w:pPr>
            <w:r>
              <w:rPr>
                <w:color w:val="auto"/>
                <w:sz w:val="22"/>
                <w:szCs w:val="22"/>
                <w:lang w:eastAsia="ar-SA"/>
              </w:rPr>
              <w:t xml:space="preserve">Р/с 03224643400000007200 </w:t>
            </w:r>
          </w:p>
          <w:p>
            <w:pPr>
              <w:pStyle w:val="Normal"/>
              <w:suppressAutoHyphens w:val="false"/>
              <w:rPr>
                <w:sz w:val="22"/>
                <w:szCs w:val="22"/>
              </w:rPr>
            </w:pPr>
            <w:r>
              <w:rPr>
                <w:color w:val="auto"/>
                <w:sz w:val="22"/>
                <w:szCs w:val="22"/>
              </w:rPr>
              <w:t>Банк ОКЦ №1 Северо-Западного ГУ Банка России//УФК по г</w:t>
            </w:r>
            <w:r>
              <w:rPr>
                <w:sz w:val="22"/>
                <w:szCs w:val="22"/>
              </w:rPr>
              <w:t>. Санкт-Петербургу, г. Санкт-Петербург</w:t>
            </w:r>
          </w:p>
          <w:p>
            <w:pPr>
              <w:pStyle w:val="Normal"/>
              <w:rPr>
                <w:sz w:val="22"/>
                <w:szCs w:val="22"/>
              </w:rPr>
            </w:pPr>
            <w:r>
              <w:rPr>
                <w:sz w:val="22"/>
                <w:szCs w:val="22"/>
                <w:lang w:eastAsia="ar-SA"/>
              </w:rPr>
              <w:t>БИК 014030106</w:t>
            </w:r>
          </w:p>
          <w:p>
            <w:pPr>
              <w:pStyle w:val="Normal"/>
              <w:rPr/>
            </w:pPr>
            <w:r>
              <w:rPr>
                <w:sz w:val="22"/>
                <w:szCs w:val="22"/>
                <w:lang w:eastAsia="ar-SA"/>
              </w:rPr>
              <w:t>ОКТМО 40316000 ОКПО 39473967</w:t>
            </w:r>
          </w:p>
          <w:p>
            <w:pPr>
              <w:pStyle w:val="Normal"/>
              <w:rPr/>
            </w:pPr>
            <w:r>
              <w:rPr>
                <w:sz w:val="22"/>
                <w:szCs w:val="22"/>
                <w:lang w:eastAsia="ar-SA"/>
              </w:rPr>
              <w:t>ОГРН 1037804000630</w:t>
            </w:r>
          </w:p>
          <w:p>
            <w:pPr>
              <w:pStyle w:val="Normal"/>
              <w:rPr/>
            </w:pPr>
            <w:r>
              <w:rPr>
                <w:color w:val="auto"/>
                <w:sz w:val="22"/>
                <w:szCs w:val="22"/>
                <w:lang w:eastAsia="ar-SA"/>
              </w:rPr>
              <w:t>ОКАТО 40265563000</w:t>
            </w:r>
          </w:p>
        </w:tc>
        <w:tc>
          <w:tcPr>
            <w:tcW w:w="5066" w:type="dxa"/>
            <w:tcBorders/>
            <w:shd w:color="auto" w:fill="auto" w:val="clear"/>
          </w:tcPr>
          <w:p>
            <w:pPr>
              <w:pStyle w:val="Normal"/>
              <w:snapToGrid w:val="false"/>
              <w:jc w:val="center"/>
              <w:rPr/>
            </w:pPr>
            <w:r>
              <w:rPr>
                <w:sz w:val="22"/>
                <w:szCs w:val="22"/>
                <w:lang w:eastAsia="ar-SA"/>
              </w:rPr>
              <w:t>ПОСТАВЩИК:</w:t>
            </w:r>
          </w:p>
        </w:tc>
      </w:tr>
      <w:tr>
        <w:trPr>
          <w:trHeight w:val="1643" w:hRule="atLeast"/>
        </w:trPr>
        <w:tc>
          <w:tcPr>
            <w:tcW w:w="5152" w:type="dxa"/>
            <w:tcBorders>
              <w:top w:val="single" w:sz="2" w:space="0" w:color="000000"/>
              <w:left w:val="single" w:sz="2" w:space="0" w:color="000000"/>
              <w:bottom w:val="single" w:sz="2" w:space="0" w:color="000000"/>
            </w:tcBorders>
            <w:shd w:color="auto" w:fill="auto" w:val="clear"/>
          </w:tcPr>
          <w:p>
            <w:pPr>
              <w:pStyle w:val="Normal"/>
              <w:snapToGrid w:val="false"/>
              <w:spacing w:before="120" w:after="0"/>
              <w:jc w:val="center"/>
              <w:rPr/>
            </w:pPr>
            <w:r>
              <w:rPr>
                <w:color w:val="auto"/>
                <w:sz w:val="22"/>
                <w:szCs w:val="22"/>
              </w:rPr>
              <w:t>От Заказчика:</w:t>
            </w:r>
          </w:p>
          <w:p>
            <w:pPr>
              <w:pStyle w:val="Normal"/>
              <w:jc w:val="both"/>
              <w:rPr/>
            </w:pPr>
            <w:r>
              <w:rPr>
                <w:color w:val="auto"/>
                <w:sz w:val="22"/>
                <w:szCs w:val="22"/>
              </w:rPr>
              <w:t>Главный врач Санкт-Петербургского государственного бюджетное учреждение здравоохранения «Городская многопрофильная больница №2»</w:t>
            </w:r>
          </w:p>
          <w:p>
            <w:pPr>
              <w:pStyle w:val="Normal"/>
              <w:spacing w:before="120" w:after="0"/>
              <w:jc w:val="both"/>
              <w:rPr>
                <w:color w:val="auto"/>
                <w:sz w:val="22"/>
                <w:szCs w:val="22"/>
              </w:rPr>
            </w:pPr>
            <w:r>
              <w:rPr>
                <w:color w:val="auto"/>
                <w:sz w:val="22"/>
                <w:szCs w:val="22"/>
              </w:rPr>
            </w:r>
          </w:p>
          <w:p>
            <w:pPr>
              <w:pStyle w:val="Normal"/>
              <w:spacing w:before="120" w:after="0"/>
              <w:jc w:val="both"/>
              <w:rPr/>
            </w:pPr>
            <w:r>
              <w:rPr>
                <w:color w:val="auto"/>
                <w:sz w:val="22"/>
                <w:szCs w:val="22"/>
              </w:rPr>
              <w:t>_______________________ / В. А. Волчков /</w:t>
            </w:r>
          </w:p>
          <w:p>
            <w:pPr>
              <w:pStyle w:val="Normal"/>
              <w:spacing w:before="120" w:after="0"/>
              <w:jc w:val="both"/>
              <w:rPr>
                <w:color w:val="auto"/>
                <w:sz w:val="22"/>
                <w:szCs w:val="22"/>
              </w:rPr>
            </w:pPr>
            <w:r>
              <w:rPr>
                <w:color w:val="auto"/>
                <w:sz w:val="22"/>
                <w:szCs w:val="22"/>
              </w:rPr>
            </w:r>
          </w:p>
        </w:tc>
        <w:tc>
          <w:tcPr>
            <w:tcW w:w="5066" w:type="dxa"/>
            <w:tcBorders>
              <w:top w:val="single" w:sz="2" w:space="0" w:color="000000"/>
              <w:left w:val="single" w:sz="2" w:space="0" w:color="000000"/>
              <w:bottom w:val="single" w:sz="2" w:space="0" w:color="000000"/>
              <w:right w:val="single" w:sz="2" w:space="0" w:color="000000"/>
            </w:tcBorders>
            <w:shd w:color="auto" w:fill="auto" w:val="clear"/>
          </w:tcPr>
          <w:p>
            <w:pPr>
              <w:pStyle w:val="Normal"/>
              <w:spacing w:before="114" w:after="114"/>
              <w:jc w:val="center"/>
              <w:rPr/>
            </w:pPr>
            <w:r>
              <w:rPr>
                <w:sz w:val="22"/>
                <w:szCs w:val="22"/>
                <w:lang w:eastAsia="ar-SA"/>
              </w:rPr>
              <w:t>От Поставщика:</w:t>
            </w:r>
          </w:p>
          <w:p>
            <w:pPr>
              <w:pStyle w:val="Normal"/>
              <w:widowControl/>
              <w:suppressAutoHyphens w:val="true"/>
              <w:bidi w:val="0"/>
              <w:ind w:left="0" w:right="0" w:hanging="0"/>
              <w:jc w:val="left"/>
              <w:rPr>
                <w:rFonts w:eastAsia="Times New Roman" w:cs="Times New Roman"/>
                <w:b w:val="false"/>
                <w:b w:val="false"/>
                <w:bCs w:val="false"/>
                <w:spacing w:val="-10"/>
                <w:sz w:val="22"/>
                <w:szCs w:val="22"/>
                <w:lang w:eastAsia="ar-SA"/>
              </w:rPr>
            </w:pPr>
            <w:r>
              <w:rPr>
                <w:rFonts w:eastAsia="Times New Roman" w:cs="Times New Roman"/>
                <w:b w:val="false"/>
                <w:bCs w:val="false"/>
                <w:spacing w:val="-10"/>
                <w:sz w:val="22"/>
                <w:szCs w:val="22"/>
                <w:lang w:eastAsia="ar-SA"/>
              </w:rPr>
            </w:r>
          </w:p>
          <w:p>
            <w:pPr>
              <w:pStyle w:val="Normal"/>
              <w:suppressAutoHyphens w:val="true"/>
              <w:snapToGrid w:val="false"/>
              <w:spacing w:lineRule="auto" w:line="240" w:before="171" w:after="171"/>
              <w:ind w:left="142" w:hanging="0"/>
              <w:jc w:val="both"/>
              <w:rPr/>
            </w:pPr>
            <w:bookmarkStart w:id="4" w:name="__DdeLink__1629_489588543"/>
            <w:bookmarkStart w:id="5" w:name="__DdeLink__805_3650032732"/>
            <w:bookmarkStart w:id="6" w:name="__DdeLink__2636_2133114085"/>
            <w:r>
              <w:rPr>
                <w:rFonts w:eastAsia="Times New Roman" w:cs="Times New Roman"/>
                <w:sz w:val="22"/>
                <w:szCs w:val="22"/>
                <w:lang w:eastAsia="ar-SA"/>
              </w:rPr>
              <w:t>_________________ / _________________/</w:t>
            </w:r>
            <w:bookmarkEnd w:id="4"/>
            <w:bookmarkEnd w:id="5"/>
            <w:bookmarkEnd w:id="6"/>
          </w:p>
          <w:p>
            <w:pPr>
              <w:pStyle w:val="Normal"/>
              <w:snapToGrid w:val="false"/>
              <w:jc w:val="both"/>
              <w:rPr>
                <w:sz w:val="22"/>
                <w:szCs w:val="22"/>
                <w:lang w:eastAsia="ar-SA"/>
              </w:rPr>
            </w:pPr>
            <w:r>
              <w:rPr>
                <w:sz w:val="22"/>
                <w:szCs w:val="22"/>
                <w:lang w:eastAsia="ar-SA"/>
              </w:rPr>
            </w:r>
          </w:p>
        </w:tc>
      </w:tr>
    </w:tbl>
    <w:p>
      <w:pPr>
        <w:sectPr>
          <w:footerReference w:type="default" r:id="rId2"/>
          <w:type w:val="nextPage"/>
          <w:pgSz w:w="11906" w:h="16838"/>
          <w:pgMar w:left="795" w:right="851" w:header="0" w:top="1077" w:footer="708" w:bottom="1134" w:gutter="0"/>
          <w:pgNumType w:fmt="decimal"/>
          <w:formProt w:val="false"/>
          <w:textDirection w:val="lrTb"/>
          <w:docGrid w:type="default" w:linePitch="360" w:charSpace="0"/>
        </w:sectPr>
      </w:pPr>
    </w:p>
    <w:p>
      <w:pPr>
        <w:pStyle w:val="Normal"/>
        <w:spacing w:before="120" w:after="0"/>
        <w:jc w:val="right"/>
        <w:rPr>
          <w:color w:val="auto"/>
        </w:rPr>
      </w:pPr>
      <w:r>
        <w:rPr>
          <w:i/>
          <w:iCs/>
          <w:color w:val="auto"/>
          <w:sz w:val="22"/>
          <w:szCs w:val="22"/>
        </w:rPr>
        <w:t>Приложение №1</w:t>
      </w:r>
    </w:p>
    <w:p>
      <w:pPr>
        <w:pStyle w:val="Normal"/>
        <w:jc w:val="right"/>
        <w:rPr/>
      </w:pPr>
      <w:r>
        <w:rPr>
          <w:color w:val="auto"/>
          <w:sz w:val="22"/>
          <w:szCs w:val="22"/>
        </w:rPr>
        <w:t xml:space="preserve">к Договору № </w:t>
      </w:r>
      <w:r>
        <w:rPr>
          <w:color w:val="auto"/>
          <w:sz w:val="22"/>
          <w:szCs w:val="22"/>
        </w:rPr>
        <w:t>20</w:t>
      </w:r>
      <w:r>
        <w:rPr>
          <w:color w:val="auto"/>
          <w:sz w:val="22"/>
          <w:szCs w:val="22"/>
        </w:rPr>
        <w:t>-Р от «___» ______ 2026 г.</w:t>
      </w:r>
    </w:p>
    <w:p>
      <w:pPr>
        <w:pStyle w:val="Normal"/>
        <w:rPr>
          <w:color w:val="auto"/>
          <w:sz w:val="22"/>
          <w:szCs w:val="22"/>
        </w:rPr>
      </w:pPr>
      <w:r>
        <w:rPr>
          <w:color w:val="auto"/>
          <w:sz w:val="22"/>
          <w:szCs w:val="22"/>
        </w:rPr>
      </w:r>
    </w:p>
    <w:p>
      <w:pPr>
        <w:pStyle w:val="Normal"/>
        <w:jc w:val="center"/>
        <w:rPr/>
      </w:pPr>
      <w:r>
        <w:rPr>
          <w:b/>
          <w:bCs/>
          <w:color w:val="auto"/>
          <w:sz w:val="22"/>
          <w:szCs w:val="22"/>
        </w:rPr>
        <w:t>СПЕЦИФИКАЦИЯ</w:t>
      </w:r>
    </w:p>
    <w:p>
      <w:pPr>
        <w:pStyle w:val="Normal"/>
        <w:jc w:val="center"/>
        <w:rPr>
          <w:b/>
          <w:b/>
          <w:bCs/>
          <w:color w:val="auto"/>
          <w:sz w:val="22"/>
          <w:szCs w:val="22"/>
        </w:rPr>
      </w:pPr>
      <w:r>
        <w:rPr>
          <w:b/>
          <w:bCs/>
          <w:color w:val="auto"/>
          <w:sz w:val="22"/>
          <w:szCs w:val="22"/>
        </w:rPr>
      </w:r>
    </w:p>
    <w:tbl>
      <w:tblPr>
        <w:tblW w:w="14570" w:type="dxa"/>
        <w:jc w:val="left"/>
        <w:tblInd w:w="0" w:type="dxa"/>
        <w:tblCellMar>
          <w:top w:w="0" w:type="dxa"/>
          <w:left w:w="108" w:type="dxa"/>
          <w:bottom w:w="0" w:type="dxa"/>
          <w:right w:w="108" w:type="dxa"/>
        </w:tblCellMar>
        <w:tblLook w:firstRow="1" w:noVBand="1" w:lastRow="0" w:firstColumn="1" w:lastColumn="0" w:noHBand="0" w:val="04a0"/>
      </w:tblPr>
      <w:tblGrid>
        <w:gridCol w:w="542"/>
        <w:gridCol w:w="6013"/>
        <w:gridCol w:w="1846"/>
        <w:gridCol w:w="966"/>
        <w:gridCol w:w="1017"/>
        <w:gridCol w:w="1170"/>
        <w:gridCol w:w="1406"/>
        <w:gridCol w:w="1608"/>
      </w:tblGrid>
      <w:tr>
        <w:trPr>
          <w:trHeight w:val="153" w:hRule="atLeast"/>
        </w:trPr>
        <w:tc>
          <w:tcPr>
            <w:tcW w:w="542" w:type="dxa"/>
            <w:tcBorders>
              <w:top w:val="single" w:sz="4" w:space="0" w:color="000000"/>
              <w:left w:val="single" w:sz="4" w:space="0" w:color="000000"/>
              <w:bottom w:val="single" w:sz="4" w:space="0" w:color="000000"/>
            </w:tcBorders>
            <w:shd w:color="auto" w:fill="auto" w:val="clear"/>
          </w:tcPr>
          <w:p>
            <w:pPr>
              <w:pStyle w:val="Normal"/>
              <w:snapToGrid w:val="false"/>
              <w:jc w:val="center"/>
              <w:rPr/>
            </w:pPr>
            <w:r>
              <w:rPr>
                <w:b/>
                <w:bCs/>
                <w:color w:val="auto"/>
                <w:sz w:val="22"/>
                <w:szCs w:val="22"/>
              </w:rPr>
              <w:t xml:space="preserve">№ </w:t>
            </w:r>
            <w:r>
              <w:rPr>
                <w:b/>
                <w:bCs/>
                <w:color w:val="auto"/>
                <w:sz w:val="22"/>
                <w:szCs w:val="22"/>
              </w:rPr>
              <w:t>п/п</w:t>
            </w:r>
          </w:p>
        </w:tc>
        <w:tc>
          <w:tcPr>
            <w:tcW w:w="6013" w:type="dxa"/>
            <w:tcBorders>
              <w:top w:val="single" w:sz="4" w:space="0" w:color="000000"/>
              <w:left w:val="single" w:sz="4" w:space="0" w:color="000000"/>
              <w:bottom w:val="single" w:sz="4" w:space="0" w:color="000000"/>
            </w:tcBorders>
            <w:shd w:color="auto" w:fill="auto" w:val="clear"/>
            <w:vAlign w:val="center"/>
          </w:tcPr>
          <w:p>
            <w:pPr>
              <w:pStyle w:val="Normal"/>
              <w:tabs>
                <w:tab w:val="clear" w:pos="720"/>
                <w:tab w:val="left" w:pos="5505" w:leader="none"/>
              </w:tabs>
              <w:snapToGrid w:val="false"/>
              <w:jc w:val="center"/>
              <w:rPr>
                <w:highlight w:val="yellow"/>
              </w:rPr>
            </w:pPr>
            <w:r>
              <w:rPr>
                <w:b/>
                <w:bCs/>
                <w:color w:val="auto"/>
                <w:sz w:val="22"/>
                <w:szCs w:val="22"/>
              </w:rPr>
              <w:t xml:space="preserve">Торговое наименование и </w:t>
            </w:r>
            <w:r>
              <w:rPr>
                <w:b/>
                <w:bCs/>
                <w:color w:val="auto"/>
                <w:kern w:val="2"/>
                <w:sz w:val="22"/>
                <w:szCs w:val="22"/>
              </w:rPr>
              <w:t>технические характеристики товара</w:t>
            </w:r>
          </w:p>
        </w:tc>
        <w:tc>
          <w:tcPr>
            <w:tcW w:w="1846" w:type="dxa"/>
            <w:tcBorders>
              <w:top w:val="single" w:sz="4" w:space="0" w:color="000000"/>
              <w:left w:val="single" w:sz="4" w:space="0" w:color="000000"/>
              <w:bottom w:val="single" w:sz="4" w:space="0" w:color="000000"/>
            </w:tcBorders>
            <w:shd w:color="auto" w:fill="auto" w:val="clear"/>
            <w:vAlign w:val="center"/>
          </w:tcPr>
          <w:p>
            <w:pPr>
              <w:pStyle w:val="Normal"/>
              <w:keepNext w:val="true"/>
              <w:snapToGrid w:val="false"/>
              <w:jc w:val="center"/>
              <w:rPr/>
            </w:pPr>
            <w:r>
              <w:rPr>
                <w:b/>
                <w:bCs/>
                <w:color w:val="auto"/>
                <w:kern w:val="2"/>
                <w:sz w:val="22"/>
                <w:szCs w:val="22"/>
              </w:rPr>
              <w:t>Страна происхождения товара</w:t>
            </w:r>
          </w:p>
        </w:tc>
        <w:tc>
          <w:tcPr>
            <w:tcW w:w="966" w:type="dxa"/>
            <w:tcBorders>
              <w:top w:val="single" w:sz="4" w:space="0" w:color="000000"/>
              <w:left w:val="single" w:sz="4" w:space="0" w:color="000000"/>
              <w:bottom w:val="single" w:sz="4" w:space="0" w:color="000000"/>
            </w:tcBorders>
            <w:shd w:color="auto" w:fill="auto" w:val="clear"/>
            <w:vAlign w:val="center"/>
          </w:tcPr>
          <w:p>
            <w:pPr>
              <w:pStyle w:val="Normal"/>
              <w:keepNext w:val="true"/>
              <w:snapToGrid w:val="false"/>
              <w:jc w:val="center"/>
              <w:rPr/>
            </w:pPr>
            <w:r>
              <w:rPr>
                <w:b/>
                <w:bCs/>
                <w:color w:val="auto"/>
                <w:kern w:val="2"/>
                <w:sz w:val="22"/>
                <w:szCs w:val="22"/>
              </w:rPr>
              <w:t>Ед. изм.</w:t>
            </w:r>
          </w:p>
        </w:tc>
        <w:tc>
          <w:tcPr>
            <w:tcW w:w="1017"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pPr>
            <w:r>
              <w:rPr>
                <w:b/>
                <w:bCs/>
                <w:color w:val="auto"/>
                <w:sz w:val="22"/>
                <w:szCs w:val="22"/>
              </w:rPr>
              <w:t>Кол-во</w:t>
            </w:r>
          </w:p>
        </w:tc>
        <w:tc>
          <w:tcPr>
            <w:tcW w:w="1170"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pPr>
            <w:r>
              <w:rPr>
                <w:b/>
                <w:bCs/>
                <w:color w:val="auto"/>
                <w:sz w:val="22"/>
                <w:szCs w:val="22"/>
              </w:rPr>
              <w:t>НДС,</w:t>
            </w:r>
          </w:p>
          <w:p>
            <w:pPr>
              <w:pStyle w:val="Normal"/>
              <w:snapToGrid w:val="false"/>
              <w:jc w:val="center"/>
              <w:rPr/>
            </w:pPr>
            <w:r>
              <w:rPr>
                <w:b/>
                <w:bCs/>
                <w:color w:val="auto"/>
                <w:sz w:val="22"/>
                <w:szCs w:val="22"/>
              </w:rPr>
              <w:t>%</w:t>
            </w:r>
          </w:p>
        </w:tc>
        <w:tc>
          <w:tcPr>
            <w:tcW w:w="1406" w:type="dxa"/>
            <w:tcBorders>
              <w:top w:val="single" w:sz="4" w:space="0" w:color="000000"/>
              <w:left w:val="single" w:sz="4" w:space="0" w:color="000000"/>
              <w:bottom w:val="single" w:sz="4" w:space="0" w:color="000000"/>
            </w:tcBorders>
            <w:shd w:color="auto" w:fill="auto" w:val="clear"/>
            <w:vAlign w:val="center"/>
          </w:tcPr>
          <w:p>
            <w:pPr>
              <w:pStyle w:val="Normal"/>
              <w:tabs>
                <w:tab w:val="clear" w:pos="720"/>
                <w:tab w:val="left" w:pos="8931" w:leader="none"/>
              </w:tabs>
              <w:snapToGrid w:val="false"/>
              <w:jc w:val="center"/>
              <w:rPr/>
            </w:pPr>
            <w:r>
              <w:rPr>
                <w:b/>
                <w:bCs/>
                <w:color w:val="auto"/>
                <w:sz w:val="22"/>
                <w:szCs w:val="22"/>
              </w:rPr>
              <w:t>Цена за единицу, (руб.)</w:t>
            </w:r>
          </w:p>
        </w:tc>
        <w:tc>
          <w:tcPr>
            <w:tcW w:w="16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720"/>
                <w:tab w:val="left" w:pos="8931" w:leader="none"/>
              </w:tabs>
              <w:snapToGrid w:val="false"/>
              <w:jc w:val="center"/>
              <w:rPr/>
            </w:pPr>
            <w:r>
              <w:rPr>
                <w:b/>
                <w:bCs/>
                <w:color w:val="auto"/>
                <w:sz w:val="22"/>
                <w:szCs w:val="22"/>
              </w:rPr>
              <w:t>Общая стоимость, (руб.)</w:t>
            </w:r>
          </w:p>
        </w:tc>
      </w:tr>
      <w:tr>
        <w:trPr>
          <w:trHeight w:val="153" w:hRule="atLeast"/>
        </w:trPr>
        <w:tc>
          <w:tcPr>
            <w:tcW w:w="542" w:type="dxa"/>
            <w:tcBorders>
              <w:left w:val="single" w:sz="4" w:space="0" w:color="000000"/>
              <w:bottom w:val="single" w:sz="4" w:space="0" w:color="000000"/>
            </w:tcBorders>
            <w:shd w:color="auto" w:fill="auto" w:val="clear"/>
            <w:vAlign w:val="center"/>
          </w:tcPr>
          <w:p>
            <w:pPr>
              <w:pStyle w:val="Normal"/>
              <w:spacing w:before="0" w:after="0"/>
              <w:jc w:val="center"/>
              <w:rPr>
                <w:sz w:val="22"/>
                <w:szCs w:val="22"/>
              </w:rPr>
            </w:pPr>
            <w:r>
              <w:rPr>
                <w:color w:val="auto"/>
                <w:sz w:val="22"/>
                <w:szCs w:val="22"/>
              </w:rPr>
              <w:t>1</w:t>
            </w:r>
          </w:p>
        </w:tc>
        <w:tc>
          <w:tcPr>
            <w:tcW w:w="6013" w:type="dxa"/>
            <w:tcBorders>
              <w:left w:val="single" w:sz="4" w:space="0" w:color="000000"/>
              <w:bottom w:val="single" w:sz="4" w:space="0" w:color="000000"/>
            </w:tcBorders>
            <w:shd w:color="auto" w:fill="auto" w:val="clear"/>
            <w:vAlign w:val="center"/>
          </w:tcPr>
          <w:p>
            <w:pPr>
              <w:pStyle w:val="Normal"/>
              <w:tabs>
                <w:tab w:val="clear" w:pos="720"/>
              </w:tabs>
              <w:spacing w:before="171" w:after="171"/>
              <w:jc w:val="left"/>
              <w:rPr/>
            </w:pPr>
            <w:r>
              <w:rPr>
                <w:rFonts w:eastAsia="Times New Roman" w:cs="Times New Roman"/>
                <w:color w:val="auto"/>
                <w:kern w:val="0"/>
                <w:sz w:val="22"/>
                <w:szCs w:val="22"/>
                <w:lang w:val="ru-RU" w:eastAsia="zh-CN" w:bidi="ar-SA"/>
              </w:rPr>
              <w:t xml:space="preserve">Полотенца в рул. Matic FlyPapir Premium 2-сл, 150м </w:t>
            </w:r>
          </w:p>
        </w:tc>
        <w:tc>
          <w:tcPr>
            <w:tcW w:w="1846" w:type="dxa"/>
            <w:tcBorders>
              <w:left w:val="single" w:sz="4" w:space="0" w:color="000000"/>
              <w:bottom w:val="single" w:sz="4" w:space="0" w:color="000000"/>
            </w:tcBorders>
            <w:shd w:color="auto" w:fill="auto" w:val="clear"/>
            <w:vAlign w:val="center"/>
          </w:tcPr>
          <w:p>
            <w:pPr>
              <w:pStyle w:val="Normal"/>
              <w:spacing w:before="114" w:after="114"/>
              <w:jc w:val="center"/>
              <w:rPr>
                <w:rFonts w:eastAsia="Times New Roman" w:cs="Times New Roman"/>
                <w:color w:val="auto"/>
                <w:kern w:val="0"/>
                <w:sz w:val="22"/>
                <w:szCs w:val="22"/>
                <w:lang w:val="ru-RU" w:eastAsia="zh-CN" w:bidi="ar-SA"/>
              </w:rPr>
            </w:pPr>
            <w:r>
              <w:rPr>
                <w:rFonts w:eastAsia="Times New Roman" w:cs="Times New Roman"/>
                <w:color w:val="auto"/>
                <w:kern w:val="0"/>
                <w:sz w:val="22"/>
                <w:szCs w:val="22"/>
                <w:lang w:val="ru-RU" w:eastAsia="zh-CN" w:bidi="ar-SA"/>
              </w:rPr>
            </w:r>
          </w:p>
        </w:tc>
        <w:tc>
          <w:tcPr>
            <w:tcW w:w="966" w:type="dxa"/>
            <w:tcBorders>
              <w:left w:val="single" w:sz="4" w:space="0" w:color="000000"/>
              <w:bottom w:val="single" w:sz="4" w:space="0" w:color="000000"/>
            </w:tcBorders>
            <w:shd w:color="auto" w:fill="auto" w:val="clear"/>
            <w:vAlign w:val="center"/>
          </w:tcPr>
          <w:p>
            <w:pPr>
              <w:pStyle w:val="Normal"/>
              <w:spacing w:before="114" w:after="114"/>
              <w:jc w:val="center"/>
              <w:rPr/>
            </w:pPr>
            <w:r>
              <w:rPr>
                <w:color w:val="auto"/>
                <w:sz w:val="22"/>
                <w:szCs w:val="22"/>
              </w:rPr>
              <w:t>10</w:t>
            </w:r>
          </w:p>
        </w:tc>
        <w:tc>
          <w:tcPr>
            <w:tcW w:w="1017" w:type="dxa"/>
            <w:tcBorders>
              <w:left w:val="single" w:sz="4" w:space="0" w:color="000000"/>
              <w:bottom w:val="single" w:sz="4" w:space="0" w:color="000000"/>
            </w:tcBorders>
            <w:shd w:color="auto" w:fill="auto" w:val="clear"/>
            <w:vAlign w:val="center"/>
          </w:tcPr>
          <w:p>
            <w:pPr>
              <w:pStyle w:val="Normal"/>
              <w:jc w:val="center"/>
              <w:rPr/>
            </w:pPr>
            <w:r>
              <w:rPr>
                <w:rFonts w:eastAsia="Times New Roman" w:cs="Times New Roman"/>
                <w:color w:val="auto"/>
                <w:kern w:val="0"/>
                <w:sz w:val="22"/>
                <w:szCs w:val="22"/>
                <w:lang w:val="ru-RU" w:eastAsia="zh-CN" w:bidi="ar-SA"/>
              </w:rPr>
              <w:t>Рул</w:t>
            </w:r>
          </w:p>
        </w:tc>
        <w:tc>
          <w:tcPr>
            <w:tcW w:w="1170" w:type="dxa"/>
            <w:tcBorders>
              <w:left w:val="single" w:sz="4" w:space="0" w:color="000000"/>
              <w:bottom w:val="single" w:sz="4" w:space="0" w:color="000000"/>
            </w:tcBorders>
            <w:shd w:color="auto" w:fill="auto" w:val="clear"/>
            <w:vAlign w:val="center"/>
          </w:tcPr>
          <w:p>
            <w:pPr>
              <w:pStyle w:val="Normal"/>
              <w:spacing w:before="114" w:after="114"/>
              <w:ind w:hanging="0"/>
              <w:jc w:val="center"/>
              <w:rPr>
                <w:rFonts w:eastAsia="Times New Roman" w:cs="Times New Roman"/>
                <w:b w:val="false"/>
                <w:b w:val="false"/>
                <w:bCs w:val="false"/>
                <w:i w:val="false"/>
                <w:i w:val="false"/>
                <w:iCs w:val="false"/>
                <w:color w:val="auto"/>
                <w:spacing w:val="-3"/>
                <w:sz w:val="18"/>
                <w:szCs w:val="18"/>
                <w:lang w:eastAsia="ar-SA"/>
              </w:rPr>
            </w:pPr>
            <w:r>
              <w:rPr>
                <w:rFonts w:eastAsia="Times New Roman" w:cs="Times New Roman"/>
                <w:b w:val="false"/>
                <w:bCs w:val="false"/>
                <w:i w:val="false"/>
                <w:iCs w:val="false"/>
                <w:color w:val="auto"/>
                <w:spacing w:val="-3"/>
                <w:sz w:val="18"/>
                <w:szCs w:val="18"/>
                <w:lang w:eastAsia="ar-SA"/>
              </w:rPr>
            </w:r>
          </w:p>
        </w:tc>
        <w:tc>
          <w:tcPr>
            <w:tcW w:w="1406" w:type="dxa"/>
            <w:tcBorders>
              <w:left w:val="single" w:sz="4" w:space="0" w:color="000000"/>
              <w:bottom w:val="single" w:sz="4" w:space="0" w:color="000000"/>
            </w:tcBorders>
            <w:shd w:color="auto" w:fill="auto" w:val="clear"/>
            <w:vAlign w:val="center"/>
          </w:tcPr>
          <w:p>
            <w:pPr>
              <w:pStyle w:val="Normal"/>
              <w:spacing w:before="114" w:after="114"/>
              <w:jc w:val="center"/>
              <w:rPr>
                <w:rFonts w:ascii="Times New Roman" w:hAnsi="Times New Roman" w:eastAsia="Times New Roman" w:cs="Times New Roman"/>
                <w:color w:val="auto"/>
                <w:kern w:val="0"/>
                <w:sz w:val="22"/>
                <w:szCs w:val="22"/>
                <w:lang w:val="ru-RU" w:eastAsia="zh-CN" w:bidi="ar-SA"/>
              </w:rPr>
            </w:pPr>
            <w:r>
              <w:rPr>
                <w:rFonts w:eastAsia="Times New Roman" w:cs="Times New Roman"/>
                <w:color w:val="auto"/>
                <w:kern w:val="0"/>
                <w:sz w:val="22"/>
                <w:szCs w:val="22"/>
                <w:lang w:val="ru-RU" w:eastAsia="zh-CN" w:bidi="ar-SA"/>
              </w:rPr>
            </w:r>
          </w:p>
        </w:tc>
        <w:tc>
          <w:tcPr>
            <w:tcW w:w="1608" w:type="dxa"/>
            <w:tcBorders>
              <w:left w:val="single" w:sz="4" w:space="0" w:color="000000"/>
              <w:bottom w:val="single" w:sz="4" w:space="0" w:color="000000"/>
              <w:right w:val="single" w:sz="4" w:space="0" w:color="000000"/>
            </w:tcBorders>
            <w:shd w:color="auto" w:fill="auto" w:val="clear"/>
            <w:vAlign w:val="center"/>
          </w:tcPr>
          <w:p>
            <w:pPr>
              <w:pStyle w:val="Normal"/>
              <w:spacing w:before="114" w:after="114"/>
              <w:jc w:val="center"/>
              <w:rPr>
                <w:rFonts w:ascii="Times New Roman" w:hAnsi="Times New Roman" w:eastAsia="Times New Roman" w:cs="Times New Roman"/>
                <w:color w:val="auto"/>
                <w:kern w:val="0"/>
                <w:sz w:val="22"/>
                <w:szCs w:val="22"/>
                <w:lang w:val="ru-RU" w:eastAsia="zh-CN" w:bidi="ar-SA"/>
              </w:rPr>
            </w:pPr>
            <w:r>
              <w:rPr>
                <w:rFonts w:eastAsia="Times New Roman" w:cs="Times New Roman"/>
                <w:color w:val="auto"/>
                <w:kern w:val="0"/>
                <w:sz w:val="22"/>
                <w:szCs w:val="22"/>
                <w:lang w:val="ru-RU" w:eastAsia="zh-CN" w:bidi="ar-SA"/>
              </w:rPr>
            </w:r>
          </w:p>
        </w:tc>
      </w:tr>
      <w:tr>
        <w:trPr>
          <w:trHeight w:val="125" w:hRule="atLeast"/>
        </w:trPr>
        <w:tc>
          <w:tcPr>
            <w:tcW w:w="542" w:type="dxa"/>
            <w:tcBorders>
              <w:left w:val="single" w:sz="4" w:space="0" w:color="000000"/>
              <w:bottom w:val="single" w:sz="4" w:space="0" w:color="000000"/>
            </w:tcBorders>
            <w:shd w:color="auto" w:fill="auto" w:val="clear"/>
            <w:vAlign w:val="center"/>
          </w:tcPr>
          <w:p>
            <w:pPr>
              <w:pStyle w:val="Normal"/>
              <w:spacing w:before="0" w:after="0"/>
              <w:jc w:val="center"/>
              <w:rPr>
                <w:sz w:val="22"/>
                <w:szCs w:val="22"/>
              </w:rPr>
            </w:pPr>
            <w:r>
              <w:rPr>
                <w:color w:val="auto"/>
                <w:sz w:val="22"/>
                <w:szCs w:val="22"/>
              </w:rPr>
              <w:t>2</w:t>
            </w:r>
          </w:p>
        </w:tc>
        <w:tc>
          <w:tcPr>
            <w:tcW w:w="6013" w:type="dxa"/>
            <w:tcBorders>
              <w:left w:val="single" w:sz="4" w:space="0" w:color="000000"/>
              <w:bottom w:val="single" w:sz="4" w:space="0" w:color="000000"/>
            </w:tcBorders>
            <w:shd w:color="auto" w:fill="auto" w:val="clear"/>
            <w:vAlign w:val="center"/>
          </w:tcPr>
          <w:p>
            <w:pPr>
              <w:pStyle w:val="Normal"/>
              <w:tabs>
                <w:tab w:val="clear" w:pos="720"/>
              </w:tabs>
              <w:spacing w:before="57" w:after="57"/>
              <w:jc w:val="left"/>
              <w:rPr/>
            </w:pPr>
            <w:r>
              <w:rPr>
                <w:rFonts w:eastAsia="Times New Roman" w:cs="Times New Roman"/>
                <w:color w:val="auto"/>
                <w:kern w:val="0"/>
                <w:sz w:val="22"/>
                <w:szCs w:val="22"/>
                <w:lang w:val="ru-RU" w:eastAsia="zh-CN" w:bidi="ar-SA"/>
              </w:rPr>
              <w:t>Полотенца в рул. с центр. вытяжкой FlyPapir ECO 1-сл, 270м, перфорация</w:t>
            </w:r>
          </w:p>
        </w:tc>
        <w:tc>
          <w:tcPr>
            <w:tcW w:w="1846" w:type="dxa"/>
            <w:tcBorders>
              <w:left w:val="single" w:sz="4" w:space="0" w:color="000000"/>
              <w:bottom w:val="single" w:sz="4" w:space="0" w:color="000000"/>
            </w:tcBorders>
            <w:shd w:color="auto" w:fill="auto" w:val="clear"/>
            <w:vAlign w:val="center"/>
          </w:tcPr>
          <w:p>
            <w:pPr>
              <w:pStyle w:val="Normal"/>
              <w:jc w:val="center"/>
              <w:rPr>
                <w:rFonts w:ascii="Times New Roman" w:hAnsi="Times New Roman" w:eastAsia="Times New Roman" w:cs="Times New Roman"/>
                <w:color w:val="auto"/>
                <w:kern w:val="0"/>
                <w:sz w:val="22"/>
                <w:szCs w:val="22"/>
                <w:lang w:val="ru-RU" w:eastAsia="zh-CN" w:bidi="ar-SA"/>
              </w:rPr>
            </w:pPr>
            <w:r>
              <w:rPr>
                <w:rFonts w:eastAsia="Times New Roman" w:cs="Times New Roman"/>
                <w:color w:val="auto"/>
                <w:kern w:val="0"/>
                <w:sz w:val="22"/>
                <w:szCs w:val="22"/>
                <w:lang w:val="ru-RU" w:eastAsia="zh-CN" w:bidi="ar-SA"/>
              </w:rPr>
            </w:r>
          </w:p>
        </w:tc>
        <w:tc>
          <w:tcPr>
            <w:tcW w:w="966" w:type="dxa"/>
            <w:tcBorders>
              <w:left w:val="single" w:sz="4" w:space="0" w:color="000000"/>
              <w:bottom w:val="single" w:sz="4" w:space="0" w:color="000000"/>
            </w:tcBorders>
            <w:shd w:color="auto" w:fill="auto" w:val="clear"/>
            <w:vAlign w:val="center"/>
          </w:tcPr>
          <w:p>
            <w:pPr>
              <w:pStyle w:val="Normal"/>
              <w:spacing w:before="114" w:after="114"/>
              <w:jc w:val="center"/>
              <w:rPr/>
            </w:pPr>
            <w:r>
              <w:rPr>
                <w:color w:val="auto"/>
                <w:sz w:val="22"/>
                <w:szCs w:val="22"/>
              </w:rPr>
              <w:t>10</w:t>
            </w:r>
          </w:p>
        </w:tc>
        <w:tc>
          <w:tcPr>
            <w:tcW w:w="1017" w:type="dxa"/>
            <w:tcBorders>
              <w:left w:val="single" w:sz="4" w:space="0" w:color="000000"/>
              <w:bottom w:val="single" w:sz="4" w:space="0" w:color="000000"/>
            </w:tcBorders>
            <w:shd w:color="auto" w:fill="auto" w:val="clear"/>
            <w:vAlign w:val="center"/>
          </w:tcPr>
          <w:p>
            <w:pPr>
              <w:pStyle w:val="Normal"/>
              <w:jc w:val="center"/>
              <w:rPr/>
            </w:pPr>
            <w:r>
              <w:rPr>
                <w:rFonts w:eastAsia="Times New Roman" w:cs="Times New Roman"/>
                <w:color w:val="auto"/>
                <w:kern w:val="0"/>
                <w:sz w:val="22"/>
                <w:szCs w:val="22"/>
                <w:lang w:val="ru-RU" w:eastAsia="zh-CN" w:bidi="ar-SA"/>
              </w:rPr>
              <w:t>Рул</w:t>
            </w:r>
          </w:p>
        </w:tc>
        <w:tc>
          <w:tcPr>
            <w:tcW w:w="1170" w:type="dxa"/>
            <w:tcBorders>
              <w:left w:val="single" w:sz="4" w:space="0" w:color="000000"/>
              <w:bottom w:val="single" w:sz="4" w:space="0" w:color="000000"/>
            </w:tcBorders>
            <w:shd w:color="auto" w:fill="auto" w:val="clear"/>
            <w:vAlign w:val="center"/>
          </w:tcPr>
          <w:p>
            <w:pPr>
              <w:pStyle w:val="Normal"/>
              <w:spacing w:before="114" w:after="114"/>
              <w:ind w:hanging="0"/>
              <w:jc w:val="center"/>
              <w:rPr>
                <w:rFonts w:eastAsia="Times New Roman" w:cs="Times New Roman"/>
                <w:b w:val="false"/>
                <w:b w:val="false"/>
                <w:bCs w:val="false"/>
                <w:i w:val="false"/>
                <w:i w:val="false"/>
                <w:iCs w:val="false"/>
                <w:color w:val="auto"/>
                <w:spacing w:val="-3"/>
                <w:sz w:val="18"/>
                <w:szCs w:val="18"/>
                <w:lang w:eastAsia="ar-SA"/>
              </w:rPr>
            </w:pPr>
            <w:r>
              <w:rPr>
                <w:rFonts w:eastAsia="Times New Roman" w:cs="Times New Roman"/>
                <w:b w:val="false"/>
                <w:bCs w:val="false"/>
                <w:i w:val="false"/>
                <w:iCs w:val="false"/>
                <w:color w:val="auto"/>
                <w:spacing w:val="-3"/>
                <w:sz w:val="18"/>
                <w:szCs w:val="18"/>
                <w:lang w:eastAsia="ar-SA"/>
              </w:rPr>
            </w:r>
          </w:p>
        </w:tc>
        <w:tc>
          <w:tcPr>
            <w:tcW w:w="1406" w:type="dxa"/>
            <w:tcBorders>
              <w:left w:val="single" w:sz="4" w:space="0" w:color="000000"/>
              <w:bottom w:val="single" w:sz="4" w:space="0" w:color="000000"/>
            </w:tcBorders>
            <w:shd w:color="auto" w:fill="auto" w:val="clear"/>
            <w:vAlign w:val="center"/>
          </w:tcPr>
          <w:p>
            <w:pPr>
              <w:pStyle w:val="Normal"/>
              <w:spacing w:before="114" w:after="114"/>
              <w:jc w:val="center"/>
              <w:rPr>
                <w:rFonts w:ascii="Times New Roman" w:hAnsi="Times New Roman" w:eastAsia="Times New Roman" w:cs="Times New Roman"/>
                <w:color w:val="auto"/>
                <w:kern w:val="0"/>
                <w:sz w:val="22"/>
                <w:szCs w:val="22"/>
                <w:lang w:val="ru-RU" w:eastAsia="zh-CN" w:bidi="ar-SA"/>
              </w:rPr>
            </w:pPr>
            <w:r>
              <w:rPr>
                <w:rFonts w:eastAsia="Times New Roman" w:cs="Times New Roman"/>
                <w:color w:val="auto"/>
                <w:kern w:val="0"/>
                <w:sz w:val="22"/>
                <w:szCs w:val="22"/>
                <w:lang w:val="ru-RU" w:eastAsia="zh-CN" w:bidi="ar-SA"/>
              </w:rPr>
            </w:r>
          </w:p>
        </w:tc>
        <w:tc>
          <w:tcPr>
            <w:tcW w:w="1608" w:type="dxa"/>
            <w:tcBorders>
              <w:left w:val="single" w:sz="4" w:space="0" w:color="000000"/>
              <w:bottom w:val="single" w:sz="4" w:space="0" w:color="000000"/>
              <w:right w:val="single" w:sz="4" w:space="0" w:color="000000"/>
            </w:tcBorders>
            <w:shd w:color="auto" w:fill="auto" w:val="clear"/>
            <w:vAlign w:val="center"/>
          </w:tcPr>
          <w:p>
            <w:pPr>
              <w:pStyle w:val="Normal"/>
              <w:spacing w:before="114" w:after="114"/>
              <w:jc w:val="center"/>
              <w:rPr>
                <w:rFonts w:ascii="Times New Roman" w:hAnsi="Times New Roman" w:eastAsia="Times New Roman" w:cs="Times New Roman"/>
                <w:color w:val="auto"/>
                <w:kern w:val="0"/>
                <w:sz w:val="22"/>
                <w:szCs w:val="22"/>
                <w:lang w:val="ru-RU" w:eastAsia="zh-CN" w:bidi="ar-SA"/>
              </w:rPr>
            </w:pPr>
            <w:r>
              <w:rPr>
                <w:rFonts w:eastAsia="Times New Roman" w:cs="Times New Roman"/>
                <w:color w:val="auto"/>
                <w:kern w:val="0"/>
                <w:sz w:val="22"/>
                <w:szCs w:val="22"/>
                <w:lang w:val="ru-RU" w:eastAsia="zh-CN" w:bidi="ar-SA"/>
              </w:rPr>
            </w:r>
          </w:p>
        </w:tc>
      </w:tr>
    </w:tbl>
    <w:p>
      <w:pPr>
        <w:pStyle w:val="Normal"/>
        <w:rPr>
          <w:color w:val="auto"/>
          <w:sz w:val="22"/>
          <w:szCs w:val="22"/>
        </w:rPr>
      </w:pPr>
      <w:r>
        <w:rPr>
          <w:color w:val="auto"/>
          <w:sz w:val="22"/>
          <w:szCs w:val="22"/>
        </w:rPr>
      </w:r>
    </w:p>
    <w:p>
      <w:pPr>
        <w:pStyle w:val="Normal"/>
        <w:rPr>
          <w:color w:val="auto"/>
          <w:sz w:val="22"/>
          <w:szCs w:val="22"/>
        </w:rPr>
      </w:pPr>
      <w:r>
        <w:rPr>
          <w:color w:val="auto"/>
          <w:sz w:val="22"/>
          <w:szCs w:val="22"/>
        </w:rPr>
      </w:r>
    </w:p>
    <w:p>
      <w:pPr>
        <w:pStyle w:val="Normal"/>
        <w:ind w:firstLine="567"/>
        <w:jc w:val="both"/>
        <w:rPr/>
      </w:pPr>
      <w:bookmarkStart w:id="7" w:name="__DdeLink__862_189207700"/>
      <w:r>
        <w:rPr>
          <w:b/>
          <w:bCs/>
          <w:iCs/>
          <w:color w:val="auto"/>
          <w:sz w:val="22"/>
          <w:szCs w:val="22"/>
        </w:rPr>
        <w:t>ИТОГО:</w:t>
      </w:r>
      <w:r>
        <w:rPr>
          <w:color w:val="auto"/>
          <w:sz w:val="22"/>
          <w:szCs w:val="22"/>
        </w:rPr>
        <w:t xml:space="preserve"> </w:t>
      </w:r>
      <w:bookmarkStart w:id="8" w:name="__DdeLink__806_3617906512"/>
      <w:bookmarkEnd w:id="7"/>
      <w:r>
        <w:rPr>
          <w:rFonts w:eastAsia="Times New Roman" w:cs="Times New Roman"/>
          <w:b/>
          <w:bCs/>
          <w:i/>
          <w:iCs/>
          <w:color w:val="000000"/>
          <w:spacing w:val="-5"/>
          <w:sz w:val="22"/>
          <w:szCs w:val="22"/>
          <w:lang w:eastAsia="ar-SA"/>
        </w:rPr>
        <w:t>___________ (___________________) рублей ____ копеек, в том числе НДС ___ % - ________ (_____________________) рублей ____ копеек. (если НДС не облагается, указать основание.)</w:t>
      </w:r>
      <w:bookmarkEnd w:id="8"/>
    </w:p>
    <w:p>
      <w:pPr>
        <w:pStyle w:val="Normal"/>
        <w:ind w:firstLine="567"/>
        <w:jc w:val="both"/>
        <w:rPr>
          <w:b/>
          <w:b/>
          <w:bCs/>
          <w:i/>
          <w:i/>
          <w:iCs/>
          <w:color w:val="auto"/>
          <w:spacing w:val="-3"/>
          <w:sz w:val="22"/>
          <w:szCs w:val="22"/>
        </w:rPr>
      </w:pPr>
      <w:r>
        <w:rPr>
          <w:b/>
          <w:bCs/>
          <w:i/>
          <w:iCs/>
          <w:color w:val="auto"/>
          <w:spacing w:val="-3"/>
          <w:sz w:val="22"/>
          <w:szCs w:val="22"/>
        </w:rPr>
      </w:r>
    </w:p>
    <w:tbl>
      <w:tblPr>
        <w:tblW w:w="14570" w:type="dxa"/>
        <w:jc w:val="left"/>
        <w:tblInd w:w="-108" w:type="dxa"/>
        <w:tblCellMar>
          <w:top w:w="0" w:type="dxa"/>
          <w:left w:w="108" w:type="dxa"/>
          <w:bottom w:w="0" w:type="dxa"/>
          <w:right w:w="108" w:type="dxa"/>
        </w:tblCellMar>
        <w:tblLook w:firstRow="1" w:noVBand="1" w:lastRow="0" w:firstColumn="1" w:lastColumn="0" w:noHBand="0" w:val="04a0"/>
      </w:tblPr>
      <w:tblGrid>
        <w:gridCol w:w="7349"/>
        <w:gridCol w:w="7220"/>
      </w:tblGrid>
      <w:tr>
        <w:trPr>
          <w:trHeight w:val="2308" w:hRule="atLeast"/>
        </w:trPr>
        <w:tc>
          <w:tcPr>
            <w:tcW w:w="7349" w:type="dxa"/>
            <w:tcBorders>
              <w:top w:val="single" w:sz="4" w:space="0" w:color="000000"/>
              <w:left w:val="single" w:sz="4" w:space="0" w:color="000000"/>
              <w:bottom w:val="single" w:sz="4" w:space="0" w:color="000000"/>
            </w:tcBorders>
            <w:shd w:color="auto" w:fill="auto" w:val="clear"/>
          </w:tcPr>
          <w:p>
            <w:pPr>
              <w:pStyle w:val="Normal"/>
              <w:snapToGrid w:val="false"/>
              <w:spacing w:before="120" w:after="0"/>
              <w:jc w:val="center"/>
              <w:rPr>
                <w:color w:val="auto"/>
              </w:rPr>
            </w:pPr>
            <w:r>
              <w:rPr>
                <w:color w:val="auto"/>
                <w:sz w:val="22"/>
                <w:szCs w:val="22"/>
              </w:rPr>
              <w:t>От Заказчика:</w:t>
            </w:r>
          </w:p>
          <w:p>
            <w:pPr>
              <w:pStyle w:val="Normal"/>
              <w:spacing w:before="120" w:after="0"/>
              <w:jc w:val="both"/>
              <w:rPr>
                <w:sz w:val="22"/>
                <w:szCs w:val="22"/>
              </w:rPr>
            </w:pPr>
            <w:r>
              <w:rPr>
                <w:color w:val="auto"/>
                <w:sz w:val="22"/>
                <w:szCs w:val="22"/>
              </w:rPr>
              <w:t>Главный врач Санкт-Петербургского государственного бюджетное учреждение здравоохранения «Городская многопрофильная больница №2»</w:t>
            </w:r>
          </w:p>
          <w:p>
            <w:pPr>
              <w:pStyle w:val="Normal"/>
              <w:spacing w:before="120" w:after="0"/>
              <w:jc w:val="both"/>
              <w:rPr>
                <w:sz w:val="22"/>
                <w:szCs w:val="22"/>
              </w:rPr>
            </w:pPr>
            <w:r>
              <w:rPr>
                <w:color w:val="auto"/>
                <w:sz w:val="22"/>
                <w:szCs w:val="22"/>
              </w:rPr>
              <w:t>_______________________ / В. А. Волчков /</w:t>
            </w:r>
          </w:p>
          <w:p>
            <w:pPr>
              <w:pStyle w:val="Normal"/>
              <w:spacing w:before="120" w:after="0"/>
              <w:jc w:val="both"/>
              <w:rPr>
                <w:color w:val="auto"/>
                <w:sz w:val="22"/>
                <w:szCs w:val="22"/>
              </w:rPr>
            </w:pPr>
            <w:r>
              <w:rPr>
                <w:color w:val="auto"/>
                <w:sz w:val="22"/>
                <w:szCs w:val="22"/>
              </w:rPr>
            </w:r>
          </w:p>
        </w:tc>
        <w:tc>
          <w:tcPr>
            <w:tcW w:w="7220"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14" w:after="114"/>
              <w:jc w:val="center"/>
              <w:rPr>
                <w:sz w:val="22"/>
                <w:szCs w:val="22"/>
              </w:rPr>
            </w:pPr>
            <w:r>
              <w:rPr>
                <w:color w:val="auto"/>
                <w:sz w:val="22"/>
                <w:szCs w:val="22"/>
                <w:lang w:eastAsia="ar-SA"/>
              </w:rPr>
              <w:t>От Поставщика:</w:t>
            </w:r>
          </w:p>
          <w:p>
            <w:pPr>
              <w:pStyle w:val="Normal"/>
              <w:widowControl/>
              <w:suppressAutoHyphens w:val="true"/>
              <w:bidi w:val="0"/>
              <w:ind w:left="0" w:right="0" w:hanging="0"/>
              <w:jc w:val="left"/>
              <w:rPr>
                <w:rFonts w:eastAsia="Times New Roman" w:cs="Times New Roman"/>
                <w:b w:val="false"/>
                <w:b w:val="false"/>
                <w:bCs w:val="false"/>
                <w:spacing w:val="-10"/>
                <w:sz w:val="22"/>
                <w:szCs w:val="22"/>
                <w:lang w:eastAsia="ar-SA"/>
              </w:rPr>
            </w:pPr>
            <w:r>
              <w:rPr>
                <w:rFonts w:eastAsia="Times New Roman" w:cs="Times New Roman"/>
                <w:b w:val="false"/>
                <w:bCs w:val="false"/>
                <w:spacing w:val="-10"/>
                <w:sz w:val="22"/>
                <w:szCs w:val="22"/>
                <w:lang w:eastAsia="ar-SA"/>
              </w:rPr>
            </w:r>
          </w:p>
          <w:p>
            <w:pPr>
              <w:pStyle w:val="Normal"/>
              <w:suppressAutoHyphens w:val="true"/>
              <w:snapToGrid w:val="false"/>
              <w:spacing w:lineRule="auto" w:line="240" w:before="171" w:after="171"/>
              <w:ind w:left="142" w:hanging="0"/>
              <w:jc w:val="both"/>
              <w:rPr/>
            </w:pPr>
            <w:bookmarkStart w:id="9" w:name="__DdeLink__1629_4895885431"/>
            <w:bookmarkStart w:id="10" w:name="__DdeLink__805_36500327321"/>
            <w:r>
              <w:rPr>
                <w:rFonts w:eastAsia="Times New Roman" w:cs="Times New Roman"/>
                <w:color w:val="auto"/>
                <w:sz w:val="22"/>
                <w:szCs w:val="22"/>
                <w:lang w:eastAsia="ar-SA"/>
              </w:rPr>
              <w:t>_________________ / ________________/</w:t>
            </w:r>
            <w:bookmarkEnd w:id="9"/>
            <w:bookmarkEnd w:id="10"/>
          </w:p>
        </w:tc>
      </w:tr>
    </w:tbl>
    <w:p>
      <w:pPr>
        <w:sectPr>
          <w:footerReference w:type="default" r:id="rId3"/>
          <w:type w:val="nextPage"/>
          <w:pgSz w:orient="landscape" w:w="16838" w:h="11906"/>
          <w:pgMar w:left="1134" w:right="1134" w:header="0" w:top="1134" w:footer="0" w:bottom="1134" w:gutter="0"/>
          <w:pgNumType w:fmt="decimal"/>
          <w:formProt w:val="false"/>
          <w:textDirection w:val="lrTb"/>
          <w:docGrid w:type="default" w:linePitch="100" w:charSpace="0"/>
        </w:sectPr>
      </w:pPr>
    </w:p>
    <w:p>
      <w:pPr>
        <w:pStyle w:val="Normal"/>
        <w:jc w:val="right"/>
        <w:rPr>
          <w:sz w:val="22"/>
          <w:szCs w:val="22"/>
        </w:rPr>
      </w:pPr>
      <w:r>
        <w:rPr>
          <w:i/>
          <w:iCs/>
          <w:color w:val="auto"/>
          <w:sz w:val="22"/>
          <w:szCs w:val="22"/>
        </w:rPr>
        <w:t>Приложение №2</w:t>
      </w:r>
    </w:p>
    <w:p>
      <w:pPr>
        <w:pStyle w:val="Normal"/>
        <w:jc w:val="right"/>
        <w:rPr>
          <w:iCs/>
          <w:color w:val="auto"/>
          <w:sz w:val="22"/>
          <w:szCs w:val="22"/>
        </w:rPr>
      </w:pPr>
      <w:r>
        <w:rPr>
          <w:iCs/>
          <w:color w:val="auto"/>
          <w:sz w:val="22"/>
          <w:szCs w:val="22"/>
        </w:rPr>
      </w:r>
    </w:p>
    <w:p>
      <w:pPr>
        <w:pStyle w:val="Normal"/>
        <w:jc w:val="right"/>
        <w:rPr/>
      </w:pPr>
      <w:r>
        <w:rPr>
          <w:iCs/>
          <w:color w:val="auto"/>
          <w:sz w:val="22"/>
          <w:szCs w:val="22"/>
        </w:rPr>
        <w:t xml:space="preserve">к Договору № </w:t>
      </w:r>
      <w:r>
        <w:rPr>
          <w:iCs/>
          <w:color w:val="auto"/>
          <w:sz w:val="22"/>
          <w:szCs w:val="22"/>
        </w:rPr>
        <w:t>20</w:t>
      </w:r>
      <w:r>
        <w:rPr>
          <w:iCs/>
          <w:color w:val="auto"/>
          <w:sz w:val="22"/>
          <w:szCs w:val="22"/>
        </w:rPr>
        <w:t>-Р от «___» _____ 2026 г.</w:t>
      </w:r>
    </w:p>
    <w:p>
      <w:pPr>
        <w:pStyle w:val="Normal"/>
        <w:ind w:firstLine="567"/>
        <w:jc w:val="right"/>
        <w:rPr>
          <w:bCs/>
          <w:color w:val="auto"/>
          <w:sz w:val="22"/>
          <w:szCs w:val="22"/>
        </w:rPr>
      </w:pPr>
      <w:r>
        <w:rPr>
          <w:bCs/>
          <w:color w:val="auto"/>
          <w:sz w:val="22"/>
          <w:szCs w:val="22"/>
        </w:rPr>
      </w:r>
    </w:p>
    <w:p>
      <w:pPr>
        <w:pStyle w:val="Normal"/>
        <w:ind w:firstLine="567"/>
        <w:jc w:val="right"/>
        <w:rPr>
          <w:bCs/>
          <w:color w:val="auto"/>
          <w:sz w:val="22"/>
          <w:szCs w:val="22"/>
        </w:rPr>
      </w:pPr>
      <w:r>
        <w:rPr>
          <w:bCs/>
          <w:color w:val="auto"/>
          <w:sz w:val="22"/>
          <w:szCs w:val="22"/>
        </w:rPr>
      </w:r>
    </w:p>
    <w:p>
      <w:pPr>
        <w:pStyle w:val="Normal"/>
        <w:widowControl w:val="false"/>
        <w:ind w:firstLine="720"/>
        <w:jc w:val="center"/>
        <w:rPr>
          <w:sz w:val="20"/>
          <w:szCs w:val="20"/>
        </w:rPr>
      </w:pPr>
      <w:r>
        <w:rPr>
          <w:color w:val="auto"/>
          <w:sz w:val="22"/>
          <w:szCs w:val="22"/>
        </w:rPr>
        <w:t>АКТ</w:t>
      </w:r>
    </w:p>
    <w:p>
      <w:pPr>
        <w:pStyle w:val="Normal"/>
        <w:widowControl w:val="false"/>
        <w:ind w:firstLine="720"/>
        <w:jc w:val="center"/>
        <w:rPr>
          <w:sz w:val="20"/>
          <w:szCs w:val="20"/>
        </w:rPr>
      </w:pPr>
      <w:r>
        <w:rPr>
          <w:color w:val="auto"/>
          <w:sz w:val="22"/>
          <w:szCs w:val="22"/>
        </w:rPr>
        <w:t>ПРИЕМА-ПЕРЕДАЧИ ТОВАРА</w:t>
      </w:r>
    </w:p>
    <w:p>
      <w:pPr>
        <w:pStyle w:val="Normal"/>
        <w:widowControl w:val="false"/>
        <w:ind w:firstLine="720"/>
        <w:jc w:val="center"/>
        <w:rPr/>
      </w:pPr>
      <w:r>
        <w:rPr>
          <w:color w:val="auto"/>
          <w:sz w:val="22"/>
          <w:szCs w:val="22"/>
        </w:rPr>
        <w:t xml:space="preserve">по Договору от </w:t>
      </w:r>
      <w:bookmarkStart w:id="11" w:name="__DdeLink__533_295464370"/>
      <w:r>
        <w:rPr>
          <w:color w:val="auto"/>
          <w:sz w:val="22"/>
          <w:szCs w:val="22"/>
        </w:rPr>
        <w:t xml:space="preserve"> «___» ______ 202</w:t>
      </w:r>
      <w:r>
        <w:rPr>
          <w:color w:val="auto"/>
          <w:sz w:val="22"/>
          <w:szCs w:val="22"/>
        </w:rPr>
        <w:t>6</w:t>
      </w:r>
      <w:r>
        <w:rPr>
          <w:color w:val="auto"/>
          <w:sz w:val="22"/>
          <w:szCs w:val="22"/>
        </w:rPr>
        <w:t xml:space="preserve"> г</w:t>
      </w:r>
      <w:bookmarkEnd w:id="11"/>
      <w:r>
        <w:rPr>
          <w:color w:val="auto"/>
          <w:sz w:val="22"/>
          <w:szCs w:val="22"/>
        </w:rPr>
        <w:t xml:space="preserve">. N </w:t>
      </w:r>
      <w:r>
        <w:rPr>
          <w:color w:val="auto"/>
          <w:sz w:val="22"/>
          <w:szCs w:val="22"/>
        </w:rPr>
        <w:t>20</w:t>
      </w:r>
      <w:r>
        <w:rPr>
          <w:color w:val="auto"/>
          <w:sz w:val="22"/>
          <w:szCs w:val="22"/>
        </w:rPr>
        <w:t>-Р</w:t>
      </w:r>
    </w:p>
    <w:p>
      <w:pPr>
        <w:pStyle w:val="Normal"/>
        <w:ind w:left="-180" w:hanging="0"/>
        <w:rPr>
          <w:color w:val="auto"/>
          <w:sz w:val="22"/>
          <w:szCs w:val="22"/>
        </w:rPr>
      </w:pPr>
      <w:r>
        <w:rPr>
          <w:color w:val="auto"/>
          <w:sz w:val="22"/>
          <w:szCs w:val="22"/>
        </w:rPr>
      </w:r>
    </w:p>
    <w:p>
      <w:pPr>
        <w:pStyle w:val="Normal"/>
        <w:ind w:left="-180" w:hanging="0"/>
        <w:jc w:val="center"/>
        <w:rPr/>
      </w:pPr>
      <w:r>
        <w:rPr>
          <w:color w:val="auto"/>
          <w:sz w:val="22"/>
          <w:szCs w:val="22"/>
        </w:rPr>
        <w:t>Санкт - Петербург                                                                                                        «___»_________2026 г.</w:t>
      </w:r>
    </w:p>
    <w:p>
      <w:pPr>
        <w:pStyle w:val="Normal"/>
        <w:ind w:left="-180" w:hanging="0"/>
        <w:rPr>
          <w:sz w:val="20"/>
          <w:szCs w:val="20"/>
        </w:rPr>
      </w:pPr>
      <w:r>
        <w:rPr>
          <w:color w:val="auto"/>
          <w:sz w:val="22"/>
          <w:szCs w:val="22"/>
        </w:rPr>
        <w:tab/>
        <w:t>___________________________________________________, именуемое в дальнейшем «Поставщик»</w:t>
      </w:r>
    </w:p>
    <w:p>
      <w:pPr>
        <w:pStyle w:val="Normal"/>
        <w:ind w:left="-180" w:hanging="0"/>
        <w:rPr>
          <w:sz w:val="20"/>
          <w:szCs w:val="20"/>
        </w:rPr>
      </w:pPr>
      <w:r>
        <w:rPr>
          <w:color w:val="auto"/>
          <w:sz w:val="22"/>
          <w:szCs w:val="22"/>
        </w:rPr>
        <w:t xml:space="preserve">                      </w:t>
      </w:r>
      <w:r>
        <w:rPr>
          <w:color w:val="auto"/>
          <w:sz w:val="22"/>
          <w:szCs w:val="22"/>
        </w:rPr>
        <w:t>(наименование организации)</w:t>
      </w:r>
    </w:p>
    <w:p>
      <w:pPr>
        <w:pStyle w:val="Normal"/>
        <w:rPr>
          <w:sz w:val="20"/>
          <w:szCs w:val="20"/>
        </w:rPr>
      </w:pPr>
      <w:r>
        <w:rPr>
          <w:color w:val="auto"/>
          <w:sz w:val="22"/>
          <w:szCs w:val="22"/>
        </w:rPr>
        <w:t>в лице ________________________________________________________________________________,</w:t>
      </w:r>
    </w:p>
    <w:p>
      <w:pPr>
        <w:pStyle w:val="Normal"/>
        <w:jc w:val="center"/>
        <w:rPr>
          <w:sz w:val="20"/>
          <w:szCs w:val="20"/>
        </w:rPr>
      </w:pPr>
      <w:r>
        <w:rPr>
          <w:color w:val="auto"/>
          <w:sz w:val="22"/>
          <w:szCs w:val="22"/>
        </w:rPr>
        <w:t>(должность. Ф.И.О.)</w:t>
      </w:r>
    </w:p>
    <w:p>
      <w:pPr>
        <w:pStyle w:val="Normal"/>
        <w:rPr>
          <w:sz w:val="20"/>
          <w:szCs w:val="20"/>
        </w:rPr>
      </w:pPr>
      <w:r>
        <w:rPr>
          <w:color w:val="auto"/>
          <w:sz w:val="22"/>
          <w:szCs w:val="22"/>
        </w:rPr>
        <w:t>действующего на основании  ___________________________________________     с одной стороны и</w:t>
      </w:r>
    </w:p>
    <w:p>
      <w:pPr>
        <w:pStyle w:val="Normal"/>
        <w:rPr>
          <w:sz w:val="20"/>
          <w:szCs w:val="20"/>
        </w:rPr>
      </w:pPr>
      <w:r>
        <w:rPr>
          <w:color w:val="auto"/>
          <w:sz w:val="22"/>
          <w:szCs w:val="22"/>
        </w:rPr>
        <w:t xml:space="preserve">                                                               </w:t>
      </w:r>
      <w:r>
        <w:rPr>
          <w:color w:val="auto"/>
          <w:sz w:val="22"/>
          <w:szCs w:val="22"/>
        </w:rPr>
        <w:t xml:space="preserve">(Устава, Положения, Доверенности) </w:t>
      </w:r>
    </w:p>
    <w:p>
      <w:pPr>
        <w:pStyle w:val="Normal"/>
        <w:rPr>
          <w:sz w:val="20"/>
          <w:szCs w:val="20"/>
        </w:rPr>
      </w:pPr>
      <w:r>
        <w:rPr>
          <w:color w:val="auto"/>
          <w:sz w:val="22"/>
          <w:szCs w:val="22"/>
          <w:u w:val="single"/>
        </w:rPr>
        <w:t>СПб ГБУЗ "ГМПБ № 2",</w:t>
      </w:r>
      <w:r>
        <w:rPr>
          <w:color w:val="auto"/>
          <w:sz w:val="22"/>
          <w:szCs w:val="22"/>
        </w:rPr>
        <w:t xml:space="preserve"> именуемое в дальнейшем «Заказчик» в лице </w:t>
      </w:r>
      <w:r>
        <w:rPr>
          <w:color w:val="auto"/>
          <w:sz w:val="22"/>
          <w:szCs w:val="22"/>
          <w:u w:val="single"/>
        </w:rPr>
        <w:t>главного врача Волчкова Владимира Анатольевича</w:t>
      </w:r>
      <w:r>
        <w:rPr>
          <w:color w:val="auto"/>
          <w:sz w:val="22"/>
          <w:szCs w:val="22"/>
        </w:rPr>
        <w:t xml:space="preserve">, действующего на основании  </w:t>
      </w:r>
      <w:r>
        <w:rPr>
          <w:color w:val="auto"/>
          <w:sz w:val="22"/>
          <w:szCs w:val="22"/>
          <w:u w:val="single"/>
        </w:rPr>
        <w:t>Устава</w:t>
      </w:r>
      <w:r>
        <w:rPr>
          <w:color w:val="auto"/>
          <w:sz w:val="22"/>
          <w:szCs w:val="22"/>
        </w:rPr>
        <w:t xml:space="preserve">  с другой стороны, вместе именуемые «Стороны», составили настоящий акт о нижеследующем:</w:t>
      </w:r>
    </w:p>
    <w:p>
      <w:pPr>
        <w:pStyle w:val="Normal"/>
        <w:ind w:firstLine="708"/>
        <w:rPr/>
      </w:pPr>
      <w:r>
        <w:rPr>
          <w:color w:val="auto"/>
          <w:sz w:val="22"/>
          <w:szCs w:val="22"/>
        </w:rPr>
        <w:t xml:space="preserve">1. В соответствии со Спецификацией  к Договору № </w:t>
      </w:r>
      <w:r>
        <w:rPr>
          <w:color w:val="auto"/>
          <w:sz w:val="22"/>
          <w:szCs w:val="22"/>
        </w:rPr>
        <w:t>20</w:t>
      </w:r>
      <w:r>
        <w:rPr>
          <w:color w:val="auto"/>
          <w:sz w:val="22"/>
          <w:szCs w:val="22"/>
        </w:rPr>
        <w:t>-Р от «___» ______ 2026 г.</w:t>
      </w:r>
    </w:p>
    <w:p>
      <w:pPr>
        <w:pStyle w:val="Normal"/>
        <w:rPr>
          <w:sz w:val="20"/>
          <w:szCs w:val="20"/>
        </w:rPr>
      </w:pPr>
      <w:r>
        <w:rPr>
          <w:color w:val="auto"/>
          <w:sz w:val="22"/>
          <w:szCs w:val="22"/>
        </w:rPr>
        <w:t>«Поставщик» поставил, а «Заказчик» принял следующий Товар:</w:t>
      </w:r>
    </w:p>
    <w:p>
      <w:pPr>
        <w:pStyle w:val="Normal"/>
        <w:rPr>
          <w:color w:val="auto"/>
          <w:sz w:val="22"/>
          <w:szCs w:val="22"/>
        </w:rPr>
      </w:pPr>
      <w:r>
        <w:rPr>
          <w:color w:val="auto"/>
          <w:sz w:val="22"/>
          <w:szCs w:val="22"/>
        </w:rPr>
      </w:r>
    </w:p>
    <w:tbl>
      <w:tblPr>
        <w:tblW w:w="10065" w:type="dxa"/>
        <w:jc w:val="left"/>
        <w:tblInd w:w="-108" w:type="dxa"/>
        <w:tblCellMar>
          <w:top w:w="0" w:type="dxa"/>
          <w:left w:w="108" w:type="dxa"/>
          <w:bottom w:w="0" w:type="dxa"/>
          <w:right w:w="108" w:type="dxa"/>
        </w:tblCellMar>
        <w:tblLook w:firstRow="1" w:noVBand="1" w:lastRow="0" w:firstColumn="1" w:lastColumn="0" w:noHBand="0" w:val="04a0"/>
      </w:tblPr>
      <w:tblGrid>
        <w:gridCol w:w="959"/>
        <w:gridCol w:w="2945"/>
        <w:gridCol w:w="1730"/>
        <w:gridCol w:w="1408"/>
        <w:gridCol w:w="1416"/>
        <w:gridCol w:w="1606"/>
      </w:tblGrid>
      <w:tr>
        <w:trPr/>
        <w:tc>
          <w:tcPr>
            <w:tcW w:w="959"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sz w:val="20"/>
                <w:szCs w:val="20"/>
              </w:rPr>
            </w:pPr>
            <w:r>
              <w:rPr>
                <w:color w:val="auto"/>
                <w:sz w:val="22"/>
                <w:szCs w:val="22"/>
              </w:rPr>
              <w:t>№</w:t>
            </w:r>
            <w:r>
              <w:rPr>
                <w:color w:val="auto"/>
                <w:sz w:val="22"/>
                <w:szCs w:val="22"/>
              </w:rPr>
              <w:t>п/п</w:t>
            </w:r>
          </w:p>
        </w:tc>
        <w:tc>
          <w:tcPr>
            <w:tcW w:w="2945"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sz w:val="20"/>
                <w:szCs w:val="20"/>
              </w:rPr>
            </w:pPr>
            <w:r>
              <w:rPr>
                <w:color w:val="auto"/>
                <w:sz w:val="22"/>
                <w:szCs w:val="22"/>
              </w:rPr>
              <w:t xml:space="preserve">Наименование товара </w:t>
            </w:r>
          </w:p>
        </w:tc>
        <w:tc>
          <w:tcPr>
            <w:tcW w:w="1730"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sz w:val="20"/>
                <w:szCs w:val="20"/>
              </w:rPr>
            </w:pPr>
            <w:r>
              <w:rPr>
                <w:color w:val="auto"/>
                <w:sz w:val="22"/>
                <w:szCs w:val="22"/>
              </w:rPr>
              <w:t>Единица измерения</w:t>
            </w:r>
          </w:p>
        </w:tc>
        <w:tc>
          <w:tcPr>
            <w:tcW w:w="1408" w:type="dxa"/>
            <w:tcBorders>
              <w:top w:val="single" w:sz="4" w:space="0" w:color="000000"/>
              <w:left w:val="single" w:sz="4" w:space="0" w:color="000000"/>
              <w:bottom w:val="single" w:sz="4" w:space="0" w:color="000000"/>
            </w:tcBorders>
            <w:shd w:color="auto" w:fill="auto" w:val="clear"/>
            <w:vAlign w:val="center"/>
          </w:tcPr>
          <w:p>
            <w:pPr>
              <w:pStyle w:val="Normal"/>
              <w:snapToGrid w:val="false"/>
              <w:jc w:val="center"/>
              <w:rPr>
                <w:sz w:val="20"/>
                <w:szCs w:val="20"/>
              </w:rPr>
            </w:pPr>
            <w:r>
              <w:rPr>
                <w:color w:val="auto"/>
                <w:sz w:val="22"/>
                <w:szCs w:val="22"/>
              </w:rPr>
              <w:t>Количество</w:t>
            </w:r>
          </w:p>
        </w:tc>
        <w:tc>
          <w:tcPr>
            <w:tcW w:w="1416" w:type="dxa"/>
            <w:tcBorders>
              <w:top w:val="single" w:sz="4" w:space="0" w:color="000000"/>
              <w:left w:val="single" w:sz="4" w:space="0" w:color="000000"/>
              <w:bottom w:val="single" w:sz="4" w:space="0" w:color="000000"/>
            </w:tcBorders>
            <w:shd w:color="auto" w:fill="auto" w:val="clear"/>
          </w:tcPr>
          <w:p>
            <w:pPr>
              <w:pStyle w:val="Normal"/>
              <w:snapToGrid w:val="false"/>
              <w:ind w:hanging="108"/>
              <w:jc w:val="center"/>
              <w:rPr>
                <w:sz w:val="20"/>
                <w:szCs w:val="20"/>
              </w:rPr>
            </w:pPr>
            <w:r>
              <w:rPr>
                <w:color w:val="auto"/>
                <w:sz w:val="22"/>
                <w:szCs w:val="22"/>
              </w:rPr>
              <w:t>Цена за единицу</w:t>
            </w:r>
          </w:p>
        </w:tc>
        <w:tc>
          <w:tcPr>
            <w:tcW w:w="160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napToGrid w:val="false"/>
              <w:ind w:hanging="108"/>
              <w:jc w:val="center"/>
              <w:rPr>
                <w:sz w:val="20"/>
                <w:szCs w:val="20"/>
              </w:rPr>
            </w:pPr>
            <w:r>
              <w:rPr>
                <w:color w:val="auto"/>
                <w:sz w:val="22"/>
                <w:szCs w:val="22"/>
              </w:rPr>
              <w:t xml:space="preserve">Общая сумма </w:t>
            </w:r>
          </w:p>
        </w:tc>
      </w:tr>
      <w:tr>
        <w:trPr/>
        <w:tc>
          <w:tcPr>
            <w:tcW w:w="959" w:type="dxa"/>
            <w:tcBorders>
              <w:top w:val="single" w:sz="4" w:space="0" w:color="000000"/>
              <w:left w:val="single" w:sz="4" w:space="0" w:color="000000"/>
              <w:bottom w:val="single" w:sz="4" w:space="0" w:color="000000"/>
            </w:tcBorders>
            <w:shd w:color="auto" w:fill="auto" w:val="clear"/>
          </w:tcPr>
          <w:p>
            <w:pPr>
              <w:pStyle w:val="Normal"/>
              <w:snapToGrid w:val="false"/>
              <w:rPr>
                <w:color w:val="auto"/>
                <w:sz w:val="22"/>
                <w:szCs w:val="22"/>
              </w:rPr>
            </w:pPr>
            <w:r>
              <w:rPr>
                <w:color w:val="auto"/>
                <w:sz w:val="22"/>
                <w:szCs w:val="22"/>
              </w:rPr>
            </w:r>
          </w:p>
        </w:tc>
        <w:tc>
          <w:tcPr>
            <w:tcW w:w="2945" w:type="dxa"/>
            <w:tcBorders>
              <w:top w:val="single" w:sz="4" w:space="0" w:color="000000"/>
              <w:left w:val="single" w:sz="4" w:space="0" w:color="000000"/>
              <w:bottom w:val="single" w:sz="4" w:space="0" w:color="000000"/>
            </w:tcBorders>
            <w:shd w:color="auto" w:fill="auto" w:val="clear"/>
          </w:tcPr>
          <w:p>
            <w:pPr>
              <w:pStyle w:val="Normal"/>
              <w:snapToGrid w:val="false"/>
              <w:rPr>
                <w:color w:val="auto"/>
                <w:sz w:val="22"/>
                <w:szCs w:val="22"/>
              </w:rPr>
            </w:pPr>
            <w:r>
              <w:rPr>
                <w:color w:val="auto"/>
                <w:sz w:val="22"/>
                <w:szCs w:val="22"/>
              </w:rPr>
            </w:r>
          </w:p>
        </w:tc>
        <w:tc>
          <w:tcPr>
            <w:tcW w:w="1730" w:type="dxa"/>
            <w:tcBorders>
              <w:top w:val="single" w:sz="4" w:space="0" w:color="000000"/>
              <w:left w:val="single" w:sz="4" w:space="0" w:color="000000"/>
              <w:bottom w:val="single" w:sz="4" w:space="0" w:color="000000"/>
            </w:tcBorders>
            <w:shd w:color="auto" w:fill="auto" w:val="clear"/>
          </w:tcPr>
          <w:p>
            <w:pPr>
              <w:pStyle w:val="Normal"/>
              <w:snapToGrid w:val="false"/>
              <w:rPr>
                <w:color w:val="auto"/>
                <w:sz w:val="22"/>
                <w:szCs w:val="22"/>
              </w:rPr>
            </w:pPr>
            <w:r>
              <w:rPr>
                <w:color w:val="auto"/>
                <w:sz w:val="22"/>
                <w:szCs w:val="22"/>
              </w:rPr>
            </w:r>
          </w:p>
        </w:tc>
        <w:tc>
          <w:tcPr>
            <w:tcW w:w="1408" w:type="dxa"/>
            <w:tcBorders>
              <w:top w:val="single" w:sz="4" w:space="0" w:color="000000"/>
              <w:left w:val="single" w:sz="4" w:space="0" w:color="000000"/>
              <w:bottom w:val="single" w:sz="4" w:space="0" w:color="000000"/>
            </w:tcBorders>
            <w:shd w:color="auto" w:fill="auto" w:val="clear"/>
          </w:tcPr>
          <w:p>
            <w:pPr>
              <w:pStyle w:val="Normal"/>
              <w:snapToGrid w:val="false"/>
              <w:rPr>
                <w:color w:val="auto"/>
                <w:sz w:val="22"/>
                <w:szCs w:val="22"/>
              </w:rPr>
            </w:pPr>
            <w:r>
              <w:rPr>
                <w:color w:val="auto"/>
                <w:sz w:val="22"/>
                <w:szCs w:val="22"/>
              </w:rPr>
            </w:r>
          </w:p>
        </w:tc>
        <w:tc>
          <w:tcPr>
            <w:tcW w:w="1416" w:type="dxa"/>
            <w:tcBorders>
              <w:top w:val="single" w:sz="4" w:space="0" w:color="000000"/>
              <w:left w:val="single" w:sz="4" w:space="0" w:color="000000"/>
              <w:bottom w:val="single" w:sz="4" w:space="0" w:color="000000"/>
            </w:tcBorders>
            <w:shd w:color="auto" w:fill="auto" w:val="clear"/>
          </w:tcPr>
          <w:p>
            <w:pPr>
              <w:pStyle w:val="Normal"/>
              <w:snapToGrid w:val="false"/>
              <w:rPr>
                <w:color w:val="auto"/>
                <w:sz w:val="22"/>
                <w:szCs w:val="22"/>
              </w:rPr>
            </w:pPr>
            <w:r>
              <w:rPr>
                <w:color w:val="auto"/>
                <w:sz w:val="22"/>
                <w:szCs w:val="22"/>
              </w:rPr>
            </w:r>
          </w:p>
        </w:tc>
        <w:tc>
          <w:tcPr>
            <w:tcW w:w="1606"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color w:val="auto"/>
                <w:sz w:val="22"/>
                <w:szCs w:val="22"/>
              </w:rPr>
            </w:pPr>
            <w:r>
              <w:rPr>
                <w:color w:val="auto"/>
                <w:sz w:val="22"/>
                <w:szCs w:val="22"/>
              </w:rPr>
            </w:r>
          </w:p>
        </w:tc>
      </w:tr>
      <w:tr>
        <w:trPr/>
        <w:tc>
          <w:tcPr>
            <w:tcW w:w="959" w:type="dxa"/>
            <w:tcBorders>
              <w:top w:val="single" w:sz="4" w:space="0" w:color="000000"/>
              <w:left w:val="single" w:sz="4" w:space="0" w:color="000000"/>
              <w:bottom w:val="single" w:sz="4" w:space="0" w:color="000000"/>
            </w:tcBorders>
            <w:shd w:color="auto" w:fill="auto" w:val="clear"/>
          </w:tcPr>
          <w:p>
            <w:pPr>
              <w:pStyle w:val="Normal"/>
              <w:snapToGrid w:val="false"/>
              <w:rPr>
                <w:color w:val="auto"/>
                <w:sz w:val="22"/>
                <w:szCs w:val="22"/>
              </w:rPr>
            </w:pPr>
            <w:r>
              <w:rPr>
                <w:color w:val="auto"/>
                <w:sz w:val="22"/>
                <w:szCs w:val="22"/>
              </w:rPr>
            </w:r>
          </w:p>
        </w:tc>
        <w:tc>
          <w:tcPr>
            <w:tcW w:w="2945" w:type="dxa"/>
            <w:tcBorders>
              <w:top w:val="single" w:sz="4" w:space="0" w:color="000000"/>
              <w:left w:val="single" w:sz="4" w:space="0" w:color="000000"/>
              <w:bottom w:val="single" w:sz="4" w:space="0" w:color="000000"/>
            </w:tcBorders>
            <w:shd w:color="auto" w:fill="auto" w:val="clear"/>
          </w:tcPr>
          <w:p>
            <w:pPr>
              <w:pStyle w:val="Normal"/>
              <w:snapToGrid w:val="false"/>
              <w:rPr>
                <w:sz w:val="20"/>
                <w:szCs w:val="20"/>
              </w:rPr>
            </w:pPr>
            <w:r>
              <w:rPr>
                <w:b/>
                <w:color w:val="auto"/>
                <w:sz w:val="22"/>
                <w:szCs w:val="22"/>
              </w:rPr>
              <w:t>Итого</w:t>
            </w:r>
          </w:p>
        </w:tc>
        <w:tc>
          <w:tcPr>
            <w:tcW w:w="1730" w:type="dxa"/>
            <w:tcBorders>
              <w:top w:val="single" w:sz="4" w:space="0" w:color="000000"/>
              <w:left w:val="single" w:sz="4" w:space="0" w:color="000000"/>
              <w:bottom w:val="single" w:sz="4" w:space="0" w:color="000000"/>
            </w:tcBorders>
            <w:shd w:color="auto" w:fill="auto" w:val="clear"/>
          </w:tcPr>
          <w:p>
            <w:pPr>
              <w:pStyle w:val="Normal"/>
              <w:snapToGrid w:val="false"/>
              <w:rPr>
                <w:b/>
                <w:b/>
                <w:color w:val="auto"/>
                <w:sz w:val="22"/>
                <w:szCs w:val="22"/>
              </w:rPr>
            </w:pPr>
            <w:r>
              <w:rPr>
                <w:b/>
                <w:color w:val="auto"/>
                <w:sz w:val="22"/>
                <w:szCs w:val="22"/>
              </w:rPr>
            </w:r>
          </w:p>
        </w:tc>
        <w:tc>
          <w:tcPr>
            <w:tcW w:w="1408" w:type="dxa"/>
            <w:tcBorders>
              <w:top w:val="single" w:sz="4" w:space="0" w:color="000000"/>
              <w:left w:val="single" w:sz="4" w:space="0" w:color="000000"/>
              <w:bottom w:val="single" w:sz="4" w:space="0" w:color="000000"/>
            </w:tcBorders>
            <w:shd w:color="auto" w:fill="auto" w:val="clear"/>
          </w:tcPr>
          <w:p>
            <w:pPr>
              <w:pStyle w:val="Normal"/>
              <w:snapToGrid w:val="false"/>
              <w:rPr>
                <w:b/>
                <w:b/>
                <w:color w:val="auto"/>
                <w:sz w:val="22"/>
                <w:szCs w:val="22"/>
              </w:rPr>
            </w:pPr>
            <w:r>
              <w:rPr>
                <w:b/>
                <w:color w:val="auto"/>
                <w:sz w:val="22"/>
                <w:szCs w:val="22"/>
              </w:rPr>
            </w:r>
          </w:p>
        </w:tc>
        <w:tc>
          <w:tcPr>
            <w:tcW w:w="1416" w:type="dxa"/>
            <w:tcBorders>
              <w:top w:val="single" w:sz="4" w:space="0" w:color="000000"/>
              <w:left w:val="single" w:sz="4" w:space="0" w:color="000000"/>
              <w:bottom w:val="single" w:sz="4" w:space="0" w:color="000000"/>
            </w:tcBorders>
            <w:shd w:color="auto" w:fill="auto" w:val="clear"/>
          </w:tcPr>
          <w:p>
            <w:pPr>
              <w:pStyle w:val="Normal"/>
              <w:snapToGrid w:val="false"/>
              <w:rPr>
                <w:b/>
                <w:b/>
                <w:color w:val="auto"/>
                <w:sz w:val="22"/>
                <w:szCs w:val="22"/>
              </w:rPr>
            </w:pPr>
            <w:r>
              <w:rPr>
                <w:b/>
                <w:color w:val="auto"/>
                <w:sz w:val="22"/>
                <w:szCs w:val="22"/>
              </w:rPr>
            </w:r>
          </w:p>
        </w:tc>
        <w:tc>
          <w:tcPr>
            <w:tcW w:w="1606" w:type="dxa"/>
            <w:tcBorders>
              <w:top w:val="single" w:sz="4" w:space="0" w:color="000000"/>
              <w:left w:val="single" w:sz="4" w:space="0" w:color="000000"/>
              <w:bottom w:val="single" w:sz="4" w:space="0" w:color="000000"/>
              <w:right w:val="single" w:sz="4" w:space="0" w:color="000000"/>
            </w:tcBorders>
            <w:shd w:color="auto" w:fill="auto" w:val="clear"/>
          </w:tcPr>
          <w:p>
            <w:pPr>
              <w:pStyle w:val="Normal"/>
              <w:snapToGrid w:val="false"/>
              <w:rPr>
                <w:b/>
                <w:b/>
                <w:color w:val="auto"/>
                <w:sz w:val="22"/>
                <w:szCs w:val="22"/>
              </w:rPr>
            </w:pPr>
            <w:r>
              <w:rPr>
                <w:b/>
                <w:color w:val="auto"/>
                <w:sz w:val="22"/>
                <w:szCs w:val="22"/>
              </w:rPr>
            </w:r>
          </w:p>
        </w:tc>
      </w:tr>
    </w:tbl>
    <w:p>
      <w:pPr>
        <w:pStyle w:val="Normal"/>
        <w:rPr>
          <w:bCs/>
          <w:i/>
          <w:i/>
          <w:color w:val="auto"/>
          <w:sz w:val="22"/>
          <w:szCs w:val="22"/>
        </w:rPr>
      </w:pPr>
      <w:r>
        <w:rPr>
          <w:bCs/>
          <w:i/>
          <w:color w:val="auto"/>
          <w:sz w:val="22"/>
          <w:szCs w:val="22"/>
        </w:rPr>
      </w:r>
    </w:p>
    <w:p>
      <w:pPr>
        <w:pStyle w:val="Normal"/>
        <w:rPr>
          <w:sz w:val="20"/>
          <w:szCs w:val="20"/>
        </w:rPr>
      </w:pPr>
      <w:r>
        <w:rPr>
          <w:color w:val="auto"/>
          <w:sz w:val="22"/>
          <w:szCs w:val="22"/>
        </w:rPr>
        <w:t xml:space="preserve">Стоимость поставленного товара составляет           _______________________       </w:t>
      </w:r>
      <w:r>
        <w:rPr>
          <w:i/>
          <w:color w:val="auto"/>
          <w:sz w:val="22"/>
          <w:szCs w:val="22"/>
        </w:rPr>
        <w:t>(сумма прописью)</w:t>
      </w:r>
    </w:p>
    <w:p>
      <w:pPr>
        <w:pStyle w:val="Normal"/>
        <w:ind w:firstLine="540"/>
        <w:jc w:val="both"/>
        <w:rPr>
          <w:bCs/>
          <w:sz w:val="22"/>
          <w:szCs w:val="22"/>
        </w:rPr>
      </w:pPr>
      <w:r>
        <w:rPr>
          <w:bCs/>
          <w:color w:val="auto"/>
          <w:sz w:val="22"/>
          <w:szCs w:val="22"/>
        </w:rPr>
        <w:t>Приемка Товара произведена следующим образом:</w:t>
      </w:r>
    </w:p>
    <w:p>
      <w:pPr>
        <w:pStyle w:val="Normal"/>
        <w:ind w:firstLine="540"/>
        <w:jc w:val="both"/>
        <w:rPr/>
      </w:pPr>
      <w:r>
        <w:rPr>
          <w:bCs/>
          <w:color w:val="auto"/>
          <w:sz w:val="22"/>
          <w:szCs w:val="22"/>
        </w:rPr>
        <w:t>а) проверка по упаковочным листам номенклатуры поставленного Товара на соответствие Спецификации (</w:t>
      </w:r>
      <w:hyperlink r:id="rId4">
        <w:r>
          <w:rPr>
            <w:rStyle w:val="Style6"/>
            <w:bCs/>
            <w:color w:val="auto"/>
            <w:sz w:val="22"/>
            <w:szCs w:val="22"/>
          </w:rPr>
          <w:t>приложение N 1</w:t>
        </w:r>
      </w:hyperlink>
      <w:r>
        <w:rPr>
          <w:bCs/>
          <w:color w:val="auto"/>
          <w:sz w:val="22"/>
          <w:szCs w:val="22"/>
        </w:rPr>
        <w:t xml:space="preserve"> к Договору);</w:t>
      </w:r>
    </w:p>
    <w:p>
      <w:pPr>
        <w:pStyle w:val="Normal"/>
        <w:ind w:firstLine="540"/>
        <w:jc w:val="both"/>
        <w:rPr>
          <w:sz w:val="20"/>
          <w:szCs w:val="20"/>
        </w:rPr>
      </w:pPr>
      <w:r>
        <w:rPr>
          <w:bCs/>
          <w:color w:val="auto"/>
          <w:sz w:val="22"/>
          <w:szCs w:val="22"/>
        </w:rPr>
        <w:t>б) проверка полноты и правильности оформления комплекта сопроводительных документов в соответствии с условиями Договора;</w:t>
      </w:r>
    </w:p>
    <w:p>
      <w:pPr>
        <w:pStyle w:val="Normal"/>
        <w:ind w:firstLine="540"/>
        <w:jc w:val="both"/>
        <w:rPr>
          <w:bCs/>
          <w:sz w:val="22"/>
          <w:szCs w:val="22"/>
        </w:rPr>
      </w:pPr>
      <w:r>
        <w:rPr>
          <w:bCs/>
          <w:color w:val="auto"/>
          <w:sz w:val="22"/>
          <w:szCs w:val="22"/>
        </w:rPr>
        <w:t>в) контроль наличия/отсутствия внешних повреждений оригинальной упаковки Товара;</w:t>
      </w:r>
    </w:p>
    <w:p>
      <w:pPr>
        <w:pStyle w:val="Normal"/>
        <w:ind w:firstLine="540"/>
        <w:jc w:val="both"/>
        <w:rPr>
          <w:bCs/>
          <w:sz w:val="22"/>
          <w:szCs w:val="22"/>
        </w:rPr>
      </w:pPr>
      <w:r>
        <w:rPr>
          <w:bCs/>
          <w:color w:val="auto"/>
          <w:sz w:val="22"/>
          <w:szCs w:val="22"/>
        </w:rPr>
        <w:t>г) проверка наличия необходимых документов (копий документов) на Товар;</w:t>
      </w:r>
    </w:p>
    <w:p>
      <w:pPr>
        <w:pStyle w:val="Normal"/>
        <w:ind w:firstLine="540"/>
        <w:jc w:val="both"/>
        <w:rPr>
          <w:bCs/>
          <w:sz w:val="22"/>
          <w:szCs w:val="22"/>
        </w:rPr>
      </w:pPr>
      <w:r>
        <w:rPr>
          <w:bCs/>
          <w:color w:val="auto"/>
          <w:sz w:val="22"/>
          <w:szCs w:val="22"/>
        </w:rPr>
        <w:t>д) проверка наличия технической и (или) эксплуатационной документации производителя (изготовителя) Товара на русском языке;</w:t>
      </w:r>
    </w:p>
    <w:p>
      <w:pPr>
        <w:pStyle w:val="Normal"/>
        <w:ind w:firstLine="540"/>
        <w:jc w:val="both"/>
        <w:rPr>
          <w:bCs/>
          <w:sz w:val="22"/>
          <w:szCs w:val="22"/>
        </w:rPr>
      </w:pPr>
      <w:r>
        <w:rPr>
          <w:bCs/>
          <w:color w:val="auto"/>
          <w:sz w:val="22"/>
          <w:szCs w:val="22"/>
        </w:rPr>
        <w:t>е) проверка комплектности и целостности поставленного Товара.</w:t>
      </w:r>
    </w:p>
    <w:p>
      <w:pPr>
        <w:pStyle w:val="Normal"/>
        <w:ind w:firstLine="540"/>
        <w:jc w:val="both"/>
        <w:rPr>
          <w:bCs/>
          <w:sz w:val="22"/>
          <w:szCs w:val="22"/>
        </w:rPr>
      </w:pPr>
      <w:r>
        <w:rPr>
          <w:bCs/>
          <w:color w:val="auto"/>
          <w:sz w:val="22"/>
          <w:szCs w:val="22"/>
        </w:rPr>
        <w:t>К настоящему Акту прилагаются следующие документы, подтверждающие поставку Товара:</w:t>
      </w:r>
    </w:p>
    <w:p>
      <w:pPr>
        <w:pStyle w:val="Normal"/>
        <w:jc w:val="both"/>
        <w:rPr/>
      </w:pPr>
      <w:r>
        <w:rPr>
          <w:bCs/>
          <w:color w:val="auto"/>
          <w:sz w:val="22"/>
          <w:szCs w:val="22"/>
        </w:rPr>
        <w:t>1. Товарная Накладная от "__" __________ 202</w:t>
      </w:r>
      <w:r>
        <w:rPr>
          <w:bCs/>
          <w:color w:val="auto"/>
          <w:sz w:val="22"/>
          <w:szCs w:val="22"/>
          <w:lang w:val="ru-RU"/>
        </w:rPr>
        <w:t>6</w:t>
      </w:r>
      <w:r>
        <w:rPr>
          <w:bCs/>
          <w:color w:val="auto"/>
          <w:sz w:val="22"/>
          <w:szCs w:val="22"/>
        </w:rPr>
        <w:t xml:space="preserve"> г. N ____;</w:t>
      </w:r>
    </w:p>
    <w:p>
      <w:pPr>
        <w:pStyle w:val="Normal"/>
        <w:ind w:firstLine="567"/>
        <w:jc w:val="both"/>
        <w:rPr>
          <w:bCs/>
          <w:color w:val="auto"/>
          <w:sz w:val="22"/>
          <w:szCs w:val="22"/>
        </w:rPr>
      </w:pPr>
      <w:r>
        <w:rPr>
          <w:bCs/>
          <w:color w:val="auto"/>
          <w:sz w:val="22"/>
          <w:szCs w:val="22"/>
        </w:rPr>
      </w:r>
    </w:p>
    <w:tbl>
      <w:tblPr>
        <w:tblW w:w="10035" w:type="dxa"/>
        <w:jc w:val="left"/>
        <w:tblInd w:w="-108" w:type="dxa"/>
        <w:tblCellMar>
          <w:top w:w="0" w:type="dxa"/>
          <w:left w:w="108" w:type="dxa"/>
          <w:bottom w:w="0" w:type="dxa"/>
          <w:right w:w="108" w:type="dxa"/>
        </w:tblCellMar>
        <w:tblLook w:firstRow="1" w:noVBand="1" w:lastRow="0" w:firstColumn="1" w:lastColumn="0" w:noHBand="0" w:val="04a0"/>
      </w:tblPr>
      <w:tblGrid>
        <w:gridCol w:w="5448"/>
        <w:gridCol w:w="4586"/>
      </w:tblGrid>
      <w:tr>
        <w:trPr>
          <w:trHeight w:val="2308" w:hRule="atLeast"/>
        </w:trPr>
        <w:tc>
          <w:tcPr>
            <w:tcW w:w="5448" w:type="dxa"/>
            <w:tcBorders>
              <w:top w:val="single" w:sz="4" w:space="0" w:color="000000"/>
              <w:left w:val="single" w:sz="4" w:space="0" w:color="000000"/>
              <w:bottom w:val="single" w:sz="4" w:space="0" w:color="000000"/>
            </w:tcBorders>
            <w:shd w:color="auto" w:fill="auto" w:val="clear"/>
          </w:tcPr>
          <w:p>
            <w:pPr>
              <w:pStyle w:val="Normal"/>
              <w:snapToGrid w:val="false"/>
              <w:spacing w:before="120" w:after="0"/>
              <w:jc w:val="center"/>
              <w:rPr>
                <w:sz w:val="20"/>
                <w:szCs w:val="20"/>
              </w:rPr>
            </w:pPr>
            <w:r>
              <w:rPr>
                <w:color w:val="auto"/>
                <w:sz w:val="22"/>
                <w:szCs w:val="22"/>
              </w:rPr>
              <w:t>От Заказчика:</w:t>
            </w:r>
          </w:p>
          <w:p>
            <w:pPr>
              <w:pStyle w:val="Normal"/>
              <w:spacing w:before="120" w:after="0"/>
              <w:jc w:val="both"/>
              <w:rPr>
                <w:sz w:val="20"/>
                <w:szCs w:val="20"/>
              </w:rPr>
            </w:pPr>
            <w:r>
              <w:rPr>
                <w:color w:val="auto"/>
                <w:sz w:val="22"/>
                <w:szCs w:val="22"/>
              </w:rPr>
              <w:t>Главный врач Санкт-Петербургского государственного бюджетное учреждение здравоохранения «Городская многопрофильная больница №2»</w:t>
            </w:r>
          </w:p>
          <w:p>
            <w:pPr>
              <w:pStyle w:val="Normal"/>
              <w:spacing w:before="120" w:after="0"/>
              <w:jc w:val="both"/>
              <w:rPr>
                <w:sz w:val="20"/>
                <w:szCs w:val="20"/>
              </w:rPr>
            </w:pPr>
            <w:r>
              <w:rPr>
                <w:color w:val="auto"/>
                <w:sz w:val="22"/>
                <w:szCs w:val="22"/>
              </w:rPr>
              <w:t>_______________________ / В. А. Волчков /</w:t>
            </w:r>
          </w:p>
          <w:p>
            <w:pPr>
              <w:pStyle w:val="Normal"/>
              <w:spacing w:before="120" w:after="0"/>
              <w:jc w:val="both"/>
              <w:rPr>
                <w:color w:val="auto"/>
                <w:sz w:val="22"/>
                <w:szCs w:val="22"/>
              </w:rPr>
            </w:pPr>
            <w:r>
              <w:rPr>
                <w:color w:val="auto"/>
                <w:sz w:val="22"/>
                <w:szCs w:val="22"/>
              </w:rPr>
            </w:r>
          </w:p>
        </w:tc>
        <w:tc>
          <w:tcPr>
            <w:tcW w:w="4586"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14" w:after="114"/>
              <w:jc w:val="center"/>
              <w:rPr>
                <w:sz w:val="22"/>
                <w:szCs w:val="22"/>
              </w:rPr>
            </w:pPr>
            <w:r>
              <w:rPr>
                <w:color w:val="auto"/>
                <w:sz w:val="22"/>
                <w:szCs w:val="22"/>
                <w:lang w:eastAsia="ar-SA"/>
              </w:rPr>
              <w:t>От Поставщика:</w:t>
            </w:r>
          </w:p>
          <w:p>
            <w:pPr>
              <w:pStyle w:val="Normal"/>
              <w:widowControl/>
              <w:suppressAutoHyphens w:val="true"/>
              <w:bidi w:val="0"/>
              <w:ind w:left="0" w:right="0" w:hanging="0"/>
              <w:jc w:val="left"/>
              <w:rPr>
                <w:rFonts w:eastAsia="Times New Roman" w:cs="Times New Roman"/>
                <w:b w:val="false"/>
                <w:b w:val="false"/>
                <w:bCs w:val="false"/>
                <w:spacing w:val="-10"/>
                <w:sz w:val="22"/>
                <w:szCs w:val="22"/>
                <w:lang w:eastAsia="ar-SA"/>
              </w:rPr>
            </w:pPr>
            <w:r>
              <w:rPr>
                <w:rFonts w:eastAsia="Times New Roman" w:cs="Times New Roman"/>
                <w:b w:val="false"/>
                <w:bCs w:val="false"/>
                <w:spacing w:val="-10"/>
                <w:sz w:val="22"/>
                <w:szCs w:val="22"/>
                <w:lang w:eastAsia="ar-SA"/>
              </w:rPr>
            </w:r>
          </w:p>
          <w:p>
            <w:pPr>
              <w:pStyle w:val="Normal"/>
              <w:suppressAutoHyphens w:val="true"/>
              <w:snapToGrid w:val="false"/>
              <w:spacing w:lineRule="auto" w:line="240" w:before="171" w:after="171"/>
              <w:ind w:left="142" w:hanging="0"/>
              <w:jc w:val="both"/>
              <w:rPr/>
            </w:pPr>
            <w:bookmarkStart w:id="12" w:name="__DdeLink__1629_4895885432"/>
            <w:bookmarkStart w:id="13" w:name="__DdeLink__805_36500327322"/>
            <w:r>
              <w:rPr>
                <w:rFonts w:eastAsia="Times New Roman" w:cs="Times New Roman"/>
                <w:color w:val="auto"/>
                <w:sz w:val="22"/>
                <w:szCs w:val="22"/>
                <w:lang w:eastAsia="ar-SA"/>
              </w:rPr>
              <w:t>_________________ / __________/</w:t>
            </w:r>
            <w:bookmarkEnd w:id="12"/>
            <w:bookmarkEnd w:id="13"/>
          </w:p>
        </w:tc>
      </w:tr>
    </w:tbl>
    <w:p>
      <w:pPr>
        <w:pStyle w:val="Normal"/>
        <w:ind w:firstLine="567"/>
        <w:jc w:val="both"/>
        <w:rPr/>
      </w:pPr>
      <w:r>
        <w:rPr/>
      </w:r>
    </w:p>
    <w:sectPr>
      <w:footerReference w:type="default" r:id="rId5"/>
      <w:type w:val="nextPage"/>
      <w:pgSz w:w="11906" w:h="16838"/>
      <w:pgMar w:left="795" w:right="851" w:header="0" w:top="1077" w:footer="708" w:bottom="1134"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Arial">
    <w:charset w:val="cc"/>
    <w:family w:val="roman"/>
    <w:pitch w:val="variable"/>
  </w:font>
  <w:font w:name="Symbol">
    <w:charset w:val="cc"/>
    <w:family w:val="roman"/>
    <w:pitch w:val="variable"/>
  </w:font>
  <w:font w:name="Courier New">
    <w:charset w:val="cc"/>
    <w:family w:val="roman"/>
    <w:pitch w:val="variable"/>
  </w:font>
  <w:font w:name="Wingdings">
    <w:charset w:val="cc"/>
    <w:family w:val="roman"/>
    <w:pitch w:val="variable"/>
  </w:font>
  <w:font w:name="Segoe UI">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Calibri">
    <w:charset w:val="cc"/>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ind w:right="360" w:hanging="0"/>
      <w:rPr/>
    </w:pPr>
    <w:r>
      <w:rPr/>
      <mc:AlternateContent>
        <mc:Choice Requires="wps">
          <w:drawing>
            <wp:anchor behindDoc="1" distT="0" distB="0" distL="0" distR="0" simplePos="0" locked="0" layoutInCell="1" allowOverlap="1" relativeHeight="7" wp14:anchorId="05EEC537">
              <wp:simplePos x="0" y="0"/>
              <wp:positionH relativeFrom="page">
                <wp:posOffset>7019925</wp:posOffset>
              </wp:positionH>
              <wp:positionV relativeFrom="paragraph">
                <wp:posOffset>635</wp:posOffset>
              </wp:positionV>
              <wp:extent cx="133985" cy="232410"/>
              <wp:effectExtent l="0" t="635" r="0" b="0"/>
              <wp:wrapSquare wrapText="largest"/>
              <wp:docPr id="1" name="Text Box 1"/>
              <a:graphic xmlns:a="http://schemas.openxmlformats.org/drawingml/2006/main">
                <a:graphicData uri="http://schemas.microsoft.com/office/word/2010/wordprocessingShape">
                  <wps:wsp>
                    <wps:cNvSpPr/>
                    <wps:spPr>
                      <a:xfrm>
                        <a:off x="0" y="0"/>
                        <a:ext cx="133200" cy="231840"/>
                      </a:xfrm>
                      <a:prstGeom prst="rect">
                        <a:avLst/>
                      </a:prstGeom>
                      <a:solidFill>
                        <a:srgbClr val="ffffff"/>
                      </a:solidFill>
                      <a:ln>
                        <a:noFill/>
                      </a:ln>
                    </wps:spPr>
                    <wps:style>
                      <a:lnRef idx="0"/>
                      <a:fillRef idx="0"/>
                      <a:effectRef idx="0"/>
                      <a:fontRef idx="minor"/>
                    </wps:style>
                    <wps:txbx>
                      <w:txbxContent>
                        <w:p>
                          <w:pPr>
                            <w:pStyle w:val="Style24"/>
                            <w:rPr>
                              <w:rStyle w:val="Pagenumber"/>
                              <w:color w:val="000000"/>
                            </w:rPr>
                          </w:pPr>
                          <w:r>
                            <w:rPr>
                              <w:color w:val="000000"/>
                            </w:rPr>
                          </w:r>
                        </w:p>
                      </w:txbxContent>
                    </wps:txbx>
                    <wps:bodyPr lIns="9360" rIns="9360" tIns="9360" bIns="9360">
                      <a:noAutofit/>
                    </wps:bodyPr>
                  </wps:wsp>
                </a:graphicData>
              </a:graphic>
            </wp:anchor>
          </w:drawing>
        </mc:Choice>
        <mc:Fallback>
          <w:pict>
            <v:rect id="shape_0" ID="Text Box 1" fillcolor="white" stroked="f" style="position:absolute;margin-left:552.75pt;margin-top:0.05pt;width:10.45pt;height:18.2pt;mso-position-horizontal-relative:page" wp14:anchorId="05EEC537">
              <w10:wrap type="none"/>
              <v:fill o:detectmouseclick="t" type="solid" color2="black"/>
              <v:stroke color="#3465a4" joinstyle="round" endcap="flat"/>
              <v:textbox>
                <w:txbxContent>
                  <w:p>
                    <w:pPr>
                      <w:pStyle w:val="Style24"/>
                      <w:rPr>
                        <w:rStyle w:val="Pagenumber"/>
                        <w:color w:val="000000"/>
                      </w:rPr>
                    </w:pPr>
                    <w:r>
                      <w:rPr>
                        <w:color w:val="000000"/>
                      </w:rPr>
                    </w:r>
                  </w:p>
                </w:txbxContent>
              </v:textbox>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4"/>
      <w:ind w:right="360" w:hanging="0"/>
      <w:rPr/>
    </w:pPr>
    <w:r>
      <w:rPr/>
      <mc:AlternateContent>
        <mc:Choice Requires="wps">
          <w:drawing>
            <wp:anchor behindDoc="1" distT="0" distB="0" distL="0" distR="0" simplePos="0" locked="0" layoutInCell="1" allowOverlap="1" relativeHeight="8" wp14:anchorId="78DC8F00">
              <wp:simplePos x="0" y="0"/>
              <wp:positionH relativeFrom="page">
                <wp:posOffset>7019925</wp:posOffset>
              </wp:positionH>
              <wp:positionV relativeFrom="paragraph">
                <wp:posOffset>635</wp:posOffset>
              </wp:positionV>
              <wp:extent cx="133985" cy="232410"/>
              <wp:effectExtent l="0" t="635" r="0" b="0"/>
              <wp:wrapSquare wrapText="largest"/>
              <wp:docPr id="3" name="Text Box 1"/>
              <a:graphic xmlns:a="http://schemas.openxmlformats.org/drawingml/2006/main">
                <a:graphicData uri="http://schemas.microsoft.com/office/word/2010/wordprocessingShape">
                  <wps:wsp>
                    <wps:cNvSpPr/>
                    <wps:spPr>
                      <a:xfrm>
                        <a:off x="0" y="0"/>
                        <a:ext cx="133200" cy="231840"/>
                      </a:xfrm>
                      <a:prstGeom prst="rect">
                        <a:avLst/>
                      </a:prstGeom>
                      <a:solidFill>
                        <a:srgbClr val="ffffff"/>
                      </a:solidFill>
                      <a:ln>
                        <a:noFill/>
                      </a:ln>
                    </wps:spPr>
                    <wps:style>
                      <a:lnRef idx="0"/>
                      <a:fillRef idx="0"/>
                      <a:effectRef idx="0"/>
                      <a:fontRef idx="minor"/>
                    </wps:style>
                    <wps:txbx>
                      <w:txbxContent>
                        <w:p>
                          <w:pPr>
                            <w:pStyle w:val="Style24"/>
                            <w:rPr>
                              <w:rStyle w:val="Pagenumber"/>
                              <w:color w:val="000000"/>
                            </w:rPr>
                          </w:pPr>
                          <w:r>
                            <w:rPr>
                              <w:color w:val="000000"/>
                            </w:rPr>
                          </w:r>
                        </w:p>
                      </w:txbxContent>
                    </wps:txbx>
                    <wps:bodyPr lIns="9360" rIns="9360" tIns="9360" bIns="9360">
                      <a:noAutofit/>
                    </wps:bodyPr>
                  </wps:wsp>
                </a:graphicData>
              </a:graphic>
            </wp:anchor>
          </w:drawing>
        </mc:Choice>
        <mc:Fallback>
          <w:pict>
            <v:rect id="shape_0" ID="Text Box 1" fillcolor="white" stroked="f" style="position:absolute;margin-left:552.75pt;margin-top:0.05pt;width:10.45pt;height:18.2pt;mso-position-horizontal-relative:page" wp14:anchorId="78DC8F00">
              <w10:wrap type="none"/>
              <v:fill o:detectmouseclick="t" type="solid" color2="black"/>
              <v:stroke color="#3465a4" joinstyle="round" endcap="flat"/>
              <v:textbox>
                <w:txbxContent>
                  <w:p>
                    <w:pPr>
                      <w:pStyle w:val="Style24"/>
                      <w:rPr>
                        <w:rStyle w:val="Pagenumber"/>
                        <w:color w:val="000000"/>
                      </w:rPr>
                    </w:pPr>
                    <w:r>
                      <w:rPr>
                        <w:color w:val="000000"/>
                      </w:rPr>
                    </w:r>
                  </w:p>
                </w:txbxContent>
              </v:textbox>
            </v:rect>
          </w:pict>
        </mc:Fallback>
      </mc:AlternateConten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pStyle w:val="4"/>
      <w:numFmt w:val="none"/>
      <w:suff w:val="nothing"/>
      <w:lvlText w:val=""/>
      <w:lvlJc w:val="left"/>
      <w:pPr>
        <w:ind w:left="0" w:hanging="0"/>
      </w:pPr>
    </w:lvl>
    <w:lvl w:ilvl="4">
      <w:start w:val="1"/>
      <w:pStyle w:val="5"/>
      <w:numFmt w:val="none"/>
      <w:suff w:val="nothing"/>
      <w:lvlText w:val=""/>
      <w:lvlJc w:val="left"/>
      <w:pPr>
        <w:ind w:left="0" w:hanging="0"/>
      </w:pPr>
    </w:lvl>
    <w:lvl w:ilvl="5">
      <w:start w:val="1"/>
      <w:pStyle w:val="6"/>
      <w:numFmt w:val="none"/>
      <w:suff w:val="nothing"/>
      <w:lvlText w:val=""/>
      <w:lvlJc w:val="left"/>
      <w:pPr>
        <w:ind w:left="0" w:hanging="0"/>
      </w:pPr>
    </w:lvl>
    <w:lvl w:ilvl="6">
      <w:start w:val="1"/>
      <w:pStyle w:val="7"/>
      <w:numFmt w:val="none"/>
      <w:suff w:val="nothing"/>
      <w:lvlText w:val=""/>
      <w:lvlJc w:val="left"/>
      <w:pPr>
        <w:ind w:left="0" w:hanging="0"/>
      </w:pPr>
    </w:lvl>
    <w:lvl w:ilvl="7">
      <w:start w:val="1"/>
      <w:pStyle w:val="8"/>
      <w:numFmt w:val="none"/>
      <w:suff w:val="nothing"/>
      <w:lvlText w:val=""/>
      <w:lvlJc w:val="left"/>
      <w:pPr>
        <w:ind w:left="0" w:hanging="0"/>
      </w:pPr>
    </w:lvl>
    <w:lvl w:ilvl="8">
      <w:start w:val="1"/>
      <w:pStyle w:val="9"/>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displayBackgroundShape/>
  <w:embedSystemFonts/>
  <w:defaultTabStop w:val="720"/>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Cs w:val="24"/>
        <w:lang w:val="ru-RU"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c3b6a"/>
    <w:pPr>
      <w:widowControl/>
      <w:suppressAutoHyphens w:val="true"/>
      <w:bidi w:val="0"/>
      <w:jc w:val="left"/>
    </w:pPr>
    <w:rPr>
      <w:rFonts w:ascii="Times New Roman" w:hAnsi="Times New Roman" w:eastAsia="Times New Roman" w:cs="Times New Roman"/>
      <w:color w:val="auto"/>
      <w:kern w:val="0"/>
      <w:sz w:val="24"/>
      <w:szCs w:val="24"/>
      <w:lang w:val="ru-RU" w:eastAsia="zh-CN" w:bidi="ar-SA"/>
    </w:rPr>
  </w:style>
  <w:style w:type="paragraph" w:styleId="1">
    <w:name w:val="Heading 1"/>
    <w:basedOn w:val="Normal"/>
    <w:next w:val="Normal"/>
    <w:qFormat/>
    <w:rsid w:val="004856af"/>
    <w:pPr>
      <w:keepNext w:val="true"/>
      <w:numPr>
        <w:ilvl w:val="0"/>
        <w:numId w:val="1"/>
      </w:numPr>
      <w:spacing w:before="240" w:after="60"/>
      <w:outlineLvl w:val="0"/>
    </w:pPr>
    <w:rPr>
      <w:rFonts w:ascii="Arial" w:hAnsi="Arial" w:cs="Arial"/>
      <w:b/>
      <w:bCs/>
      <w:kern w:val="2"/>
      <w:sz w:val="32"/>
      <w:szCs w:val="32"/>
    </w:rPr>
  </w:style>
  <w:style w:type="paragraph" w:styleId="2">
    <w:name w:val="Heading 2"/>
    <w:basedOn w:val="Normal"/>
    <w:next w:val="Normal"/>
    <w:qFormat/>
    <w:rsid w:val="004856af"/>
    <w:pPr>
      <w:keepNext w:val="true"/>
      <w:numPr>
        <w:ilvl w:val="1"/>
        <w:numId w:val="1"/>
      </w:numPr>
      <w:spacing w:before="240" w:after="60"/>
      <w:outlineLvl w:val="1"/>
    </w:pPr>
    <w:rPr>
      <w:rFonts w:ascii="Arial" w:hAnsi="Arial" w:cs="Arial"/>
      <w:b/>
      <w:bCs/>
      <w:i/>
      <w:iCs/>
      <w:sz w:val="28"/>
      <w:szCs w:val="28"/>
    </w:rPr>
  </w:style>
  <w:style w:type="paragraph" w:styleId="3">
    <w:name w:val="Heading 3"/>
    <w:basedOn w:val="Normal"/>
    <w:next w:val="Normal"/>
    <w:qFormat/>
    <w:rsid w:val="004856af"/>
    <w:pPr>
      <w:keepNext w:val="true"/>
      <w:numPr>
        <w:ilvl w:val="2"/>
        <w:numId w:val="1"/>
      </w:numPr>
      <w:spacing w:before="240" w:after="60"/>
      <w:outlineLvl w:val="2"/>
    </w:pPr>
    <w:rPr>
      <w:rFonts w:ascii="Arial" w:hAnsi="Arial" w:cs="Arial"/>
      <w:b/>
      <w:bCs/>
      <w:sz w:val="26"/>
      <w:szCs w:val="26"/>
    </w:rPr>
  </w:style>
  <w:style w:type="paragraph" w:styleId="4">
    <w:name w:val="Heading 4"/>
    <w:basedOn w:val="Normal"/>
    <w:next w:val="Normal"/>
    <w:qFormat/>
    <w:rsid w:val="004856af"/>
    <w:pPr>
      <w:keepNext w:val="true"/>
      <w:numPr>
        <w:ilvl w:val="3"/>
        <w:numId w:val="1"/>
      </w:numPr>
      <w:spacing w:before="240" w:after="60"/>
      <w:outlineLvl w:val="3"/>
    </w:pPr>
    <w:rPr>
      <w:b/>
      <w:bCs/>
      <w:sz w:val="28"/>
      <w:szCs w:val="28"/>
    </w:rPr>
  </w:style>
  <w:style w:type="paragraph" w:styleId="5">
    <w:name w:val="Heading 5"/>
    <w:basedOn w:val="Normal"/>
    <w:next w:val="Normal"/>
    <w:qFormat/>
    <w:rsid w:val="004856af"/>
    <w:pPr>
      <w:numPr>
        <w:ilvl w:val="4"/>
        <w:numId w:val="1"/>
      </w:numPr>
      <w:spacing w:before="240" w:after="60"/>
      <w:outlineLvl w:val="4"/>
    </w:pPr>
    <w:rPr>
      <w:b/>
      <w:bCs/>
      <w:i/>
      <w:iCs/>
      <w:sz w:val="26"/>
      <w:szCs w:val="26"/>
    </w:rPr>
  </w:style>
  <w:style w:type="paragraph" w:styleId="6">
    <w:name w:val="Heading 6"/>
    <w:basedOn w:val="Normal"/>
    <w:next w:val="Normal"/>
    <w:qFormat/>
    <w:rsid w:val="004856af"/>
    <w:pPr>
      <w:numPr>
        <w:ilvl w:val="5"/>
        <w:numId w:val="1"/>
      </w:numPr>
      <w:spacing w:before="240" w:after="60"/>
      <w:outlineLvl w:val="5"/>
    </w:pPr>
    <w:rPr>
      <w:b/>
      <w:bCs/>
      <w:sz w:val="22"/>
      <w:szCs w:val="22"/>
    </w:rPr>
  </w:style>
  <w:style w:type="paragraph" w:styleId="7">
    <w:name w:val="Heading 7"/>
    <w:basedOn w:val="Normal"/>
    <w:next w:val="Normal"/>
    <w:qFormat/>
    <w:rsid w:val="004856af"/>
    <w:pPr>
      <w:numPr>
        <w:ilvl w:val="6"/>
        <w:numId w:val="1"/>
      </w:numPr>
      <w:spacing w:before="240" w:after="60"/>
      <w:outlineLvl w:val="6"/>
    </w:pPr>
    <w:rPr/>
  </w:style>
  <w:style w:type="paragraph" w:styleId="8">
    <w:name w:val="Heading 8"/>
    <w:basedOn w:val="Normal"/>
    <w:next w:val="Normal"/>
    <w:qFormat/>
    <w:rsid w:val="004856af"/>
    <w:pPr>
      <w:numPr>
        <w:ilvl w:val="7"/>
        <w:numId w:val="1"/>
      </w:numPr>
      <w:spacing w:before="240" w:after="60"/>
      <w:outlineLvl w:val="7"/>
    </w:pPr>
    <w:rPr>
      <w:i/>
      <w:iCs/>
    </w:rPr>
  </w:style>
  <w:style w:type="paragraph" w:styleId="9">
    <w:name w:val="Heading 9"/>
    <w:basedOn w:val="Normal"/>
    <w:next w:val="Normal"/>
    <w:qFormat/>
    <w:rsid w:val="004856af"/>
    <w:pPr>
      <w:numPr>
        <w:ilvl w:val="8"/>
        <w:numId w:val="1"/>
      </w:numPr>
      <w:tabs>
        <w:tab w:val="clear" w:pos="720"/>
        <w:tab w:val="left" w:pos="1584" w:leader="none"/>
      </w:tabs>
      <w:spacing w:before="240" w:after="60"/>
      <w:ind w:left="1584" w:hanging="1584"/>
      <w:jc w:val="both"/>
      <w:outlineLvl w:val="8"/>
    </w:pPr>
    <w:rPr>
      <w:rFonts w:ascii="Arial" w:hAnsi="Arial" w:cs="Arial"/>
      <w:b/>
      <w:bCs/>
      <w:i/>
      <w:iCs/>
      <w:sz w:val="18"/>
      <w:szCs w:val="18"/>
    </w:rPr>
  </w:style>
  <w:style w:type="character" w:styleId="DefaultParagraphFont" w:default="1">
    <w:name w:val="Default Paragraph Font"/>
    <w:uiPriority w:val="1"/>
    <w:semiHidden/>
    <w:unhideWhenUsed/>
    <w:qFormat/>
    <w:rPr/>
  </w:style>
  <w:style w:type="character" w:styleId="WW8Num1z0" w:customStyle="1">
    <w:name w:val="WW8Num1z0"/>
    <w:qFormat/>
    <w:rsid w:val="004856af"/>
    <w:rPr/>
  </w:style>
  <w:style w:type="character" w:styleId="WW8Num1z1" w:customStyle="1">
    <w:name w:val="WW8Num1z1"/>
    <w:qFormat/>
    <w:rsid w:val="004856af"/>
    <w:rPr/>
  </w:style>
  <w:style w:type="character" w:styleId="WW8Num1z2" w:customStyle="1">
    <w:name w:val="WW8Num1z2"/>
    <w:qFormat/>
    <w:rsid w:val="004856af"/>
    <w:rPr/>
  </w:style>
  <w:style w:type="character" w:styleId="WW8Num1z3" w:customStyle="1">
    <w:name w:val="WW8Num1z3"/>
    <w:qFormat/>
    <w:rsid w:val="004856af"/>
    <w:rPr/>
  </w:style>
  <w:style w:type="character" w:styleId="WW8Num1z4" w:customStyle="1">
    <w:name w:val="WW8Num1z4"/>
    <w:qFormat/>
    <w:rsid w:val="004856af"/>
    <w:rPr/>
  </w:style>
  <w:style w:type="character" w:styleId="WW8Num1z5" w:customStyle="1">
    <w:name w:val="WW8Num1z5"/>
    <w:qFormat/>
    <w:rsid w:val="004856af"/>
    <w:rPr/>
  </w:style>
  <w:style w:type="character" w:styleId="WW8Num1z6" w:customStyle="1">
    <w:name w:val="WW8Num1z6"/>
    <w:qFormat/>
    <w:rsid w:val="004856af"/>
    <w:rPr/>
  </w:style>
  <w:style w:type="character" w:styleId="WW8Num1z7" w:customStyle="1">
    <w:name w:val="WW8Num1z7"/>
    <w:qFormat/>
    <w:rsid w:val="004856af"/>
    <w:rPr/>
  </w:style>
  <w:style w:type="character" w:styleId="WW8Num1z8" w:customStyle="1">
    <w:name w:val="WW8Num1z8"/>
    <w:qFormat/>
    <w:rsid w:val="004856af"/>
    <w:rPr/>
  </w:style>
  <w:style w:type="character" w:styleId="61" w:customStyle="1">
    <w:name w:val="Основной шрифт абзаца6"/>
    <w:qFormat/>
    <w:rsid w:val="004856af"/>
    <w:rPr/>
  </w:style>
  <w:style w:type="character" w:styleId="51" w:customStyle="1">
    <w:name w:val="Основной шрифт абзаца5"/>
    <w:qFormat/>
    <w:rsid w:val="004856af"/>
    <w:rPr/>
  </w:style>
  <w:style w:type="character" w:styleId="41" w:customStyle="1">
    <w:name w:val="Основной шрифт абзаца4"/>
    <w:qFormat/>
    <w:rsid w:val="004856af"/>
    <w:rPr/>
  </w:style>
  <w:style w:type="character" w:styleId="31" w:customStyle="1">
    <w:name w:val="Основной шрифт абзаца3"/>
    <w:qFormat/>
    <w:rsid w:val="004856af"/>
    <w:rPr/>
  </w:style>
  <w:style w:type="character" w:styleId="21" w:customStyle="1">
    <w:name w:val="Основной шрифт абзаца2"/>
    <w:qFormat/>
    <w:rsid w:val="004856af"/>
    <w:rPr/>
  </w:style>
  <w:style w:type="character" w:styleId="WW8Num2z0" w:customStyle="1">
    <w:name w:val="WW8Num2z0"/>
    <w:qFormat/>
    <w:rsid w:val="004856af"/>
    <w:rPr>
      <w:rFonts w:ascii="Symbol" w:hAnsi="Symbol" w:cs="Symbol"/>
      <w:sz w:val="20"/>
    </w:rPr>
  </w:style>
  <w:style w:type="character" w:styleId="WW8Num2z1" w:customStyle="1">
    <w:name w:val="WW8Num2z1"/>
    <w:qFormat/>
    <w:rsid w:val="004856af"/>
    <w:rPr>
      <w:rFonts w:ascii="Courier New" w:hAnsi="Courier New" w:cs="Courier New"/>
      <w:sz w:val="20"/>
    </w:rPr>
  </w:style>
  <w:style w:type="character" w:styleId="WW8Num2z2" w:customStyle="1">
    <w:name w:val="WW8Num2z2"/>
    <w:qFormat/>
    <w:rsid w:val="004856af"/>
    <w:rPr>
      <w:rFonts w:ascii="Wingdings" w:hAnsi="Wingdings" w:cs="Wingdings"/>
      <w:sz w:val="20"/>
    </w:rPr>
  </w:style>
  <w:style w:type="character" w:styleId="11" w:customStyle="1">
    <w:name w:val="Основной шрифт абзаца1"/>
    <w:qFormat/>
    <w:rsid w:val="004856af"/>
    <w:rPr/>
  </w:style>
  <w:style w:type="character" w:styleId="111" w:customStyle="1">
    <w:name w:val="Заголовок 1 Знак1 Знак1"/>
    <w:qFormat/>
    <w:rsid w:val="004856af"/>
    <w:rPr>
      <w:rFonts w:ascii="Arial" w:hAnsi="Arial" w:cs="Arial"/>
      <w:b/>
      <w:bCs/>
      <w:kern w:val="2"/>
      <w:sz w:val="32"/>
      <w:szCs w:val="32"/>
    </w:rPr>
  </w:style>
  <w:style w:type="character" w:styleId="112" w:customStyle="1">
    <w:name w:val="Знак Знак11"/>
    <w:qFormat/>
    <w:rsid w:val="004856af"/>
    <w:rPr>
      <w:rFonts w:ascii="Arial" w:hAnsi="Arial" w:cs="Arial"/>
      <w:b/>
      <w:bCs/>
      <w:i/>
      <w:iCs/>
      <w:sz w:val="28"/>
      <w:szCs w:val="28"/>
    </w:rPr>
  </w:style>
  <w:style w:type="character" w:styleId="SectionHeader3" w:customStyle="1">
    <w:name w:val="Section Header3 Знак Знак"/>
    <w:qFormat/>
    <w:rsid w:val="004856af"/>
    <w:rPr>
      <w:rFonts w:ascii="Arial" w:hAnsi="Arial" w:cs="Arial"/>
      <w:b/>
      <w:bCs/>
      <w:sz w:val="26"/>
      <w:szCs w:val="26"/>
    </w:rPr>
  </w:style>
  <w:style w:type="character" w:styleId="10" w:customStyle="1">
    <w:name w:val="Знак Знак10"/>
    <w:qFormat/>
    <w:rsid w:val="004856af"/>
    <w:rPr>
      <w:rFonts w:cs="Times New Roman"/>
      <w:b/>
      <w:bCs/>
      <w:sz w:val="28"/>
      <w:szCs w:val="28"/>
    </w:rPr>
  </w:style>
  <w:style w:type="character" w:styleId="91" w:customStyle="1">
    <w:name w:val="Знак Знак9"/>
    <w:qFormat/>
    <w:rsid w:val="004856af"/>
    <w:rPr>
      <w:rFonts w:cs="Times New Roman"/>
      <w:b/>
      <w:bCs/>
      <w:i/>
      <w:iCs/>
      <w:sz w:val="26"/>
      <w:szCs w:val="26"/>
    </w:rPr>
  </w:style>
  <w:style w:type="character" w:styleId="81" w:customStyle="1">
    <w:name w:val="Знак Знак8"/>
    <w:qFormat/>
    <w:rsid w:val="004856af"/>
    <w:rPr>
      <w:rFonts w:cs="Times New Roman"/>
      <w:b/>
      <w:bCs/>
      <w:sz w:val="22"/>
      <w:szCs w:val="22"/>
    </w:rPr>
  </w:style>
  <w:style w:type="character" w:styleId="71" w:customStyle="1">
    <w:name w:val="Знак Знак7"/>
    <w:qFormat/>
    <w:rsid w:val="004856af"/>
    <w:rPr>
      <w:rFonts w:cs="Times New Roman"/>
      <w:sz w:val="24"/>
      <w:szCs w:val="24"/>
    </w:rPr>
  </w:style>
  <w:style w:type="character" w:styleId="62" w:customStyle="1">
    <w:name w:val="Знак Знак6"/>
    <w:qFormat/>
    <w:rsid w:val="004856af"/>
    <w:rPr>
      <w:rFonts w:cs="Times New Roman"/>
      <w:i/>
      <w:iCs/>
      <w:sz w:val="24"/>
      <w:szCs w:val="24"/>
    </w:rPr>
  </w:style>
  <w:style w:type="character" w:styleId="52" w:customStyle="1">
    <w:name w:val="Знак Знак5"/>
    <w:qFormat/>
    <w:rsid w:val="004856af"/>
    <w:rPr>
      <w:rFonts w:ascii="Arial" w:hAnsi="Arial" w:cs="Arial"/>
      <w:b/>
      <w:bCs/>
      <w:i/>
      <w:iCs/>
      <w:sz w:val="18"/>
      <w:szCs w:val="18"/>
    </w:rPr>
  </w:style>
  <w:style w:type="character" w:styleId="42" w:customStyle="1">
    <w:name w:val="Знак Знак4"/>
    <w:qFormat/>
    <w:rsid w:val="004856af"/>
    <w:rPr>
      <w:rFonts w:cs="Times New Roman"/>
      <w:color w:val="000000"/>
      <w:spacing w:val="13"/>
      <w:sz w:val="22"/>
      <w:szCs w:val="22"/>
      <w:shd w:fill="FFFFFF" w:val="clear"/>
    </w:rPr>
  </w:style>
  <w:style w:type="character" w:styleId="32" w:customStyle="1">
    <w:name w:val="Знак Знак3"/>
    <w:qFormat/>
    <w:rsid w:val="004856af"/>
    <w:rPr>
      <w:rFonts w:ascii="Arial" w:hAnsi="Arial" w:cs="Arial"/>
      <w:b/>
      <w:bCs/>
      <w:sz w:val="24"/>
      <w:szCs w:val="24"/>
    </w:rPr>
  </w:style>
  <w:style w:type="character" w:styleId="Strong">
    <w:name w:val="Strong"/>
    <w:qFormat/>
    <w:rsid w:val="004856af"/>
    <w:rPr>
      <w:rFonts w:cs="Times New Roman"/>
      <w:b/>
      <w:bCs/>
    </w:rPr>
  </w:style>
  <w:style w:type="character" w:styleId="12" w:customStyle="1">
    <w:name w:val="Список 1 Знак"/>
    <w:qFormat/>
    <w:rsid w:val="004856af"/>
    <w:rPr>
      <w:rFonts w:cs="Times New Roman"/>
      <w:sz w:val="24"/>
      <w:szCs w:val="24"/>
    </w:rPr>
  </w:style>
  <w:style w:type="character" w:styleId="22" w:customStyle="1">
    <w:name w:val="Знак Знак2"/>
    <w:qFormat/>
    <w:rsid w:val="004856af"/>
    <w:rPr>
      <w:rFonts w:cs="Times New Roman"/>
    </w:rPr>
  </w:style>
  <w:style w:type="character" w:styleId="F" w:customStyle="1">
    <w:name w:val="f"/>
    <w:qFormat/>
    <w:rsid w:val="004856af"/>
    <w:rPr>
      <w:rFonts w:cs="Times New Roman"/>
    </w:rPr>
  </w:style>
  <w:style w:type="character" w:styleId="Style5" w:customStyle="1">
    <w:name w:val="Символ сноски"/>
    <w:qFormat/>
    <w:rsid w:val="004856af"/>
    <w:rPr>
      <w:rFonts w:cs="Times New Roman"/>
      <w:vertAlign w:val="superscript"/>
    </w:rPr>
  </w:style>
  <w:style w:type="character" w:styleId="U" w:customStyle="1">
    <w:name w:val="u"/>
    <w:qFormat/>
    <w:rsid w:val="004856af"/>
    <w:rPr>
      <w:rFonts w:cs="Times New Roman"/>
    </w:rPr>
  </w:style>
  <w:style w:type="character" w:styleId="Blk3" w:customStyle="1">
    <w:name w:val="blk3"/>
    <w:qFormat/>
    <w:rsid w:val="004856af"/>
    <w:rPr/>
  </w:style>
  <w:style w:type="character" w:styleId="Style6" w:customStyle="1">
    <w:name w:val="Интернет-ссылка"/>
    <w:basedOn w:val="DefaultParagraphFont"/>
    <w:unhideWhenUsed/>
    <w:rsid w:val="006c3b6a"/>
    <w:rPr>
      <w:color w:val="0000FF" w:themeColor="hyperlink"/>
      <w:u w:val="single"/>
    </w:rPr>
  </w:style>
  <w:style w:type="character" w:styleId="13" w:customStyle="1">
    <w:name w:val="Знак Знак1"/>
    <w:qFormat/>
    <w:rsid w:val="004856af"/>
    <w:rPr>
      <w:rFonts w:cs="Times New Roman"/>
      <w:sz w:val="24"/>
      <w:szCs w:val="24"/>
    </w:rPr>
  </w:style>
  <w:style w:type="character" w:styleId="Pagenumber">
    <w:name w:val="page number"/>
    <w:qFormat/>
    <w:rsid w:val="004856af"/>
    <w:rPr>
      <w:rFonts w:cs="Times New Roman"/>
    </w:rPr>
  </w:style>
  <w:style w:type="character" w:styleId="Style7" w:customStyle="1">
    <w:name w:val="Знак Знак"/>
    <w:qFormat/>
    <w:rsid w:val="004856af"/>
    <w:rPr>
      <w:rFonts w:eastAsia="Times New Roman" w:cs="Times New Roman"/>
      <w:sz w:val="24"/>
      <w:szCs w:val="24"/>
    </w:rPr>
  </w:style>
  <w:style w:type="character" w:styleId="Style8">
    <w:name w:val="Выделение"/>
    <w:qFormat/>
    <w:rsid w:val="004856af"/>
    <w:rPr>
      <w:i/>
      <w:iCs/>
    </w:rPr>
  </w:style>
  <w:style w:type="character" w:styleId="Style9" w:customStyle="1">
    <w:name w:val="Текст выноски Знак"/>
    <w:qFormat/>
    <w:rsid w:val="004856af"/>
    <w:rPr>
      <w:rFonts w:ascii="Segoe UI" w:hAnsi="Segoe UI" w:cs="Segoe UI"/>
      <w:sz w:val="18"/>
      <w:szCs w:val="18"/>
      <w:lang w:eastAsia="zh-CN"/>
    </w:rPr>
  </w:style>
  <w:style w:type="character" w:styleId="Style10" w:customStyle="1">
    <w:name w:val="Посещённая гиперссылка"/>
    <w:rPr>
      <w:color w:val="800080"/>
      <w:u w:val="single"/>
    </w:rPr>
  </w:style>
  <w:style w:type="character" w:styleId="ListLabel1" w:customStyle="1">
    <w:name w:val="ListLabel 1"/>
    <w:qFormat/>
    <w:rPr>
      <w:color w:val="auto"/>
      <w:sz w:val="20"/>
      <w:szCs w:val="20"/>
      <w:u w:val="none"/>
    </w:rPr>
  </w:style>
  <w:style w:type="character" w:styleId="ListLabel2" w:customStyle="1">
    <w:name w:val="ListLabel 2"/>
    <w:qFormat/>
    <w:rPr>
      <w:bCs/>
      <w:sz w:val="20"/>
      <w:szCs w:val="20"/>
    </w:rPr>
  </w:style>
  <w:style w:type="character" w:styleId="ListLabel3" w:customStyle="1">
    <w:name w:val="ListLabel 3"/>
    <w:qFormat/>
    <w:rPr>
      <w:color w:val="auto"/>
      <w:sz w:val="20"/>
      <w:szCs w:val="20"/>
      <w:u w:val="none"/>
    </w:rPr>
  </w:style>
  <w:style w:type="character" w:styleId="ListLabel4" w:customStyle="1">
    <w:name w:val="ListLabel 4"/>
    <w:qFormat/>
    <w:rPr>
      <w:rFonts w:eastAsia="Times New Roman" w:cs="Times New Roman"/>
      <w:b w:val="false"/>
      <w:i w:val="false"/>
      <w:caps w:val="false"/>
      <w:smallCaps w:val="false"/>
      <w:color w:val="auto"/>
      <w:spacing w:val="0"/>
      <w:kern w:val="0"/>
      <w:sz w:val="20"/>
      <w:szCs w:val="20"/>
      <w:lang w:val="ru-RU" w:eastAsia="zh-CN" w:bidi="ar-SA"/>
    </w:rPr>
  </w:style>
  <w:style w:type="character" w:styleId="ListLabel5" w:customStyle="1">
    <w:name w:val="ListLabel 5"/>
    <w:qFormat/>
    <w:rPr>
      <w:bCs/>
      <w:sz w:val="20"/>
      <w:szCs w:val="20"/>
    </w:rPr>
  </w:style>
  <w:style w:type="character" w:styleId="14" w:customStyle="1">
    <w:name w:val="Неразрешенное упоминание1"/>
    <w:basedOn w:val="DefaultParagraphFont"/>
    <w:uiPriority w:val="99"/>
    <w:semiHidden/>
    <w:unhideWhenUsed/>
    <w:qFormat/>
    <w:rsid w:val="006c3b6a"/>
    <w:rPr>
      <w:color w:val="605E5C"/>
      <w:shd w:fill="E1DFDD" w:val="clear"/>
    </w:rPr>
  </w:style>
  <w:style w:type="character" w:styleId="ListLabel6" w:customStyle="1">
    <w:name w:val="ListLabel 6"/>
    <w:qFormat/>
    <w:rPr>
      <w:color w:val="auto"/>
      <w:sz w:val="20"/>
      <w:szCs w:val="20"/>
      <w:u w:val="none"/>
    </w:rPr>
  </w:style>
  <w:style w:type="character" w:styleId="ListLabel7" w:customStyle="1">
    <w:name w:val="ListLabel 7"/>
    <w:qFormat/>
    <w:rPr>
      <w:sz w:val="20"/>
      <w:szCs w:val="20"/>
    </w:rPr>
  </w:style>
  <w:style w:type="character" w:styleId="ListLabel8" w:customStyle="1">
    <w:name w:val="ListLabel 8"/>
    <w:qFormat/>
    <w:rPr>
      <w:sz w:val="20"/>
      <w:szCs w:val="20"/>
      <w:lang w:val="en-US"/>
    </w:rPr>
  </w:style>
  <w:style w:type="character" w:styleId="ListLabel9" w:customStyle="1">
    <w:name w:val="ListLabel 9"/>
    <w:qFormat/>
    <w:rPr>
      <w:bCs/>
      <w:sz w:val="20"/>
      <w:szCs w:val="20"/>
    </w:rPr>
  </w:style>
  <w:style w:type="character" w:styleId="ListLabel10" w:customStyle="1">
    <w:name w:val="ListLabel 10"/>
    <w:qFormat/>
    <w:rPr>
      <w:color w:val="auto"/>
      <w:sz w:val="20"/>
      <w:szCs w:val="20"/>
      <w:u w:val="none"/>
    </w:rPr>
  </w:style>
  <w:style w:type="character" w:styleId="ListLabel11" w:customStyle="1">
    <w:name w:val="ListLabel 11"/>
    <w:qFormat/>
    <w:rPr>
      <w:sz w:val="20"/>
      <w:szCs w:val="20"/>
    </w:rPr>
  </w:style>
  <w:style w:type="character" w:styleId="ListLabel12" w:customStyle="1">
    <w:name w:val="ListLabel 12"/>
    <w:qFormat/>
    <w:rPr>
      <w:sz w:val="20"/>
      <w:szCs w:val="20"/>
      <w:lang w:val="en-US"/>
    </w:rPr>
  </w:style>
  <w:style w:type="character" w:styleId="ListLabel13" w:customStyle="1">
    <w:name w:val="ListLabel 13"/>
    <w:qFormat/>
    <w:rPr>
      <w:bCs/>
      <w:sz w:val="20"/>
      <w:szCs w:val="20"/>
    </w:rPr>
  </w:style>
  <w:style w:type="character" w:styleId="ListLabel14" w:customStyle="1">
    <w:name w:val="ListLabel 14"/>
    <w:qFormat/>
    <w:rPr>
      <w:color w:val="auto"/>
      <w:sz w:val="20"/>
      <w:szCs w:val="20"/>
      <w:u w:val="none"/>
    </w:rPr>
  </w:style>
  <w:style w:type="character" w:styleId="ListLabel15" w:customStyle="1">
    <w:name w:val="ListLabel 15"/>
    <w:qFormat/>
    <w:rPr>
      <w:sz w:val="20"/>
      <w:szCs w:val="20"/>
    </w:rPr>
  </w:style>
  <w:style w:type="character" w:styleId="ListLabel16" w:customStyle="1">
    <w:name w:val="ListLabel 16"/>
    <w:qFormat/>
    <w:rPr>
      <w:sz w:val="20"/>
      <w:szCs w:val="20"/>
      <w:lang w:val="en-US"/>
    </w:rPr>
  </w:style>
  <w:style w:type="character" w:styleId="ListLabel17" w:customStyle="1">
    <w:name w:val="ListLabel 17"/>
    <w:qFormat/>
    <w:rPr>
      <w:bCs/>
      <w:sz w:val="20"/>
      <w:szCs w:val="20"/>
    </w:rPr>
  </w:style>
  <w:style w:type="character" w:styleId="ListLabel18" w:customStyle="1">
    <w:name w:val="ListLabel 18"/>
    <w:qFormat/>
    <w:rPr>
      <w:color w:val="auto"/>
      <w:sz w:val="20"/>
      <w:szCs w:val="20"/>
      <w:u w:val="none"/>
    </w:rPr>
  </w:style>
  <w:style w:type="character" w:styleId="ListLabel19" w:customStyle="1">
    <w:name w:val="ListLabel 19"/>
    <w:qFormat/>
    <w:rPr>
      <w:sz w:val="20"/>
      <w:szCs w:val="20"/>
    </w:rPr>
  </w:style>
  <w:style w:type="character" w:styleId="ListLabel20" w:customStyle="1">
    <w:name w:val="ListLabel 20"/>
    <w:qFormat/>
    <w:rPr>
      <w:sz w:val="20"/>
      <w:szCs w:val="20"/>
      <w:lang w:val="en-US"/>
    </w:rPr>
  </w:style>
  <w:style w:type="character" w:styleId="ListLabel21" w:customStyle="1">
    <w:name w:val="ListLabel 21"/>
    <w:qFormat/>
    <w:rPr>
      <w:bCs/>
      <w:sz w:val="20"/>
      <w:szCs w:val="20"/>
    </w:rPr>
  </w:style>
  <w:style w:type="character" w:styleId="ListLabel22" w:customStyle="1">
    <w:name w:val="ListLabel 22"/>
    <w:qFormat/>
    <w:rPr>
      <w:color w:val="auto"/>
      <w:sz w:val="20"/>
      <w:szCs w:val="20"/>
      <w:u w:val="none"/>
    </w:rPr>
  </w:style>
  <w:style w:type="character" w:styleId="ListLabel23" w:customStyle="1">
    <w:name w:val="ListLabel 23"/>
    <w:qFormat/>
    <w:rPr>
      <w:bCs/>
      <w:sz w:val="20"/>
      <w:szCs w:val="20"/>
    </w:rPr>
  </w:style>
  <w:style w:type="character" w:styleId="ListLabel24" w:customStyle="1">
    <w:name w:val="ListLabel 24"/>
    <w:qFormat/>
    <w:rPr>
      <w:color w:val="auto"/>
      <w:sz w:val="20"/>
      <w:szCs w:val="20"/>
      <w:u w:val="none"/>
    </w:rPr>
  </w:style>
  <w:style w:type="character" w:styleId="ListLabel25" w:customStyle="1">
    <w:name w:val="ListLabel 25"/>
    <w:qFormat/>
    <w:rPr>
      <w:bCs/>
      <w:sz w:val="20"/>
      <w:szCs w:val="20"/>
    </w:rPr>
  </w:style>
  <w:style w:type="character" w:styleId="ListLabel26" w:customStyle="1">
    <w:name w:val="ListLabel 26"/>
    <w:qFormat/>
    <w:rPr>
      <w:color w:val="auto"/>
      <w:sz w:val="20"/>
      <w:szCs w:val="20"/>
      <w:u w:val="none"/>
    </w:rPr>
  </w:style>
  <w:style w:type="character" w:styleId="ListLabel27" w:customStyle="1">
    <w:name w:val="ListLabel 27"/>
    <w:qFormat/>
    <w:rPr>
      <w:bCs/>
      <w:sz w:val="20"/>
      <w:szCs w:val="20"/>
    </w:rPr>
  </w:style>
  <w:style w:type="character" w:styleId="ListLabel28" w:customStyle="1">
    <w:name w:val="ListLabel 28"/>
    <w:qFormat/>
    <w:rPr>
      <w:color w:val="auto"/>
      <w:sz w:val="20"/>
      <w:szCs w:val="20"/>
      <w:u w:val="none"/>
    </w:rPr>
  </w:style>
  <w:style w:type="character" w:styleId="ListLabel29" w:customStyle="1">
    <w:name w:val="ListLabel 29"/>
    <w:qFormat/>
    <w:rPr>
      <w:bCs/>
      <w:sz w:val="20"/>
      <w:szCs w:val="20"/>
    </w:rPr>
  </w:style>
  <w:style w:type="character" w:styleId="ListLabel30" w:customStyle="1">
    <w:name w:val="ListLabel 30"/>
    <w:qFormat/>
    <w:rPr>
      <w:color w:val="auto"/>
      <w:sz w:val="20"/>
      <w:szCs w:val="20"/>
      <w:u w:val="none"/>
    </w:rPr>
  </w:style>
  <w:style w:type="character" w:styleId="ListLabel31" w:customStyle="1">
    <w:name w:val="ListLabel 31"/>
    <w:qFormat/>
    <w:rPr>
      <w:bCs/>
      <w:sz w:val="20"/>
      <w:szCs w:val="20"/>
    </w:rPr>
  </w:style>
  <w:style w:type="character" w:styleId="ListLabel32" w:customStyle="1">
    <w:name w:val="ListLabel 32"/>
    <w:qFormat/>
    <w:rPr>
      <w:color w:val="auto"/>
      <w:sz w:val="20"/>
      <w:szCs w:val="20"/>
      <w:u w:val="none"/>
    </w:rPr>
  </w:style>
  <w:style w:type="character" w:styleId="ListLabel33" w:customStyle="1">
    <w:name w:val="ListLabel 33"/>
    <w:qFormat/>
    <w:rPr>
      <w:bCs/>
      <w:sz w:val="20"/>
      <w:szCs w:val="20"/>
    </w:rPr>
  </w:style>
  <w:style w:type="character" w:styleId="Style11" w:customStyle="1">
    <w:name w:val="Маркеры списка"/>
    <w:qFormat/>
    <w:rPr>
      <w:rFonts w:ascii="OpenSymbol" w:hAnsi="OpenSymbol" w:eastAsia="OpenSymbol" w:cs="OpenSymbol"/>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cs="OpenSymbol"/>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color w:val="auto"/>
      <w:sz w:val="20"/>
      <w:szCs w:val="20"/>
      <w:u w:val="none"/>
    </w:rPr>
  </w:style>
  <w:style w:type="character" w:styleId="ListLabel44" w:customStyle="1">
    <w:name w:val="ListLabel 44"/>
    <w:qFormat/>
    <w:rPr>
      <w:bCs/>
      <w:sz w:val="20"/>
      <w:szCs w:val="20"/>
    </w:rPr>
  </w:style>
  <w:style w:type="character" w:styleId="ListLabel45" w:customStyle="1">
    <w:name w:val="ListLabel 45"/>
    <w:qFormat/>
    <w:rPr>
      <w:color w:val="auto"/>
      <w:sz w:val="20"/>
      <w:szCs w:val="20"/>
      <w:u w:val="none"/>
    </w:rPr>
  </w:style>
  <w:style w:type="character" w:styleId="ListLabel46" w:customStyle="1">
    <w:name w:val="ListLabel 46"/>
    <w:qFormat/>
    <w:rPr>
      <w:bCs/>
      <w:sz w:val="20"/>
      <w:szCs w:val="20"/>
    </w:rPr>
  </w:style>
  <w:style w:type="character" w:styleId="ListLabel47" w:customStyle="1">
    <w:name w:val="ListLabel 47"/>
    <w:qFormat/>
    <w:rPr>
      <w:color w:val="auto"/>
      <w:sz w:val="20"/>
      <w:szCs w:val="20"/>
      <w:u w:val="none"/>
    </w:rPr>
  </w:style>
  <w:style w:type="character" w:styleId="ListLabel48" w:customStyle="1">
    <w:name w:val="ListLabel 48"/>
    <w:qFormat/>
    <w:rPr>
      <w:bCs/>
      <w:sz w:val="20"/>
      <w:szCs w:val="20"/>
    </w:rPr>
  </w:style>
  <w:style w:type="character" w:styleId="ListLabel49" w:customStyle="1">
    <w:name w:val="ListLabel 49"/>
    <w:qFormat/>
    <w:rPr>
      <w:color w:val="auto"/>
      <w:sz w:val="20"/>
      <w:szCs w:val="20"/>
      <w:u w:val="none"/>
    </w:rPr>
  </w:style>
  <w:style w:type="character" w:styleId="ListLabel50" w:customStyle="1">
    <w:name w:val="ListLabel 50"/>
    <w:qFormat/>
    <w:rPr>
      <w:bCs/>
      <w:sz w:val="20"/>
      <w:szCs w:val="20"/>
    </w:rPr>
  </w:style>
  <w:style w:type="character" w:styleId="ListLabel51" w:customStyle="1">
    <w:name w:val="ListLabel 51"/>
    <w:qFormat/>
    <w:rPr>
      <w:color w:val="auto"/>
      <w:sz w:val="20"/>
      <w:szCs w:val="20"/>
      <w:u w:val="none"/>
    </w:rPr>
  </w:style>
  <w:style w:type="character" w:styleId="ListLabel52" w:customStyle="1">
    <w:name w:val="ListLabel 52"/>
    <w:qFormat/>
    <w:rPr>
      <w:bCs/>
      <w:sz w:val="20"/>
      <w:szCs w:val="20"/>
    </w:rPr>
  </w:style>
  <w:style w:type="character" w:styleId="ListLabel53" w:customStyle="1">
    <w:name w:val="ListLabel 53"/>
    <w:qFormat/>
    <w:rPr>
      <w:color w:val="auto"/>
      <w:sz w:val="20"/>
      <w:szCs w:val="20"/>
      <w:u w:val="none"/>
    </w:rPr>
  </w:style>
  <w:style w:type="character" w:styleId="ListLabel54" w:customStyle="1">
    <w:name w:val="ListLabel 54"/>
    <w:qFormat/>
    <w:rPr>
      <w:bCs/>
      <w:sz w:val="20"/>
      <w:szCs w:val="20"/>
    </w:rPr>
  </w:style>
  <w:style w:type="character" w:styleId="ListLabel60" w:customStyle="1">
    <w:name w:val="ListLabel 60"/>
    <w:qFormat/>
    <w:rPr>
      <w:bCs/>
      <w:sz w:val="20"/>
      <w:szCs w:val="20"/>
    </w:rPr>
  </w:style>
  <w:style w:type="character" w:styleId="ListLabel59" w:customStyle="1">
    <w:name w:val="ListLabel 59"/>
    <w:qFormat/>
    <w:rPr>
      <w:rFonts w:eastAsia="Arial Unicode MS"/>
      <w:color w:val="000000"/>
      <w:sz w:val="20"/>
      <w:szCs w:val="20"/>
    </w:rPr>
  </w:style>
  <w:style w:type="character" w:styleId="ListLabel58" w:customStyle="1">
    <w:name w:val="ListLabel 58"/>
    <w:qFormat/>
    <w:rPr>
      <w:rFonts w:eastAsia="Arial Unicode MS"/>
      <w:color w:val="000000"/>
      <w:sz w:val="20"/>
      <w:szCs w:val="20"/>
      <w:lang w:val="en-US"/>
    </w:rPr>
  </w:style>
  <w:style w:type="character" w:styleId="ListLabel57" w:customStyle="1">
    <w:name w:val="ListLabel 57"/>
    <w:qFormat/>
    <w:rPr>
      <w:color w:val="auto"/>
      <w:sz w:val="20"/>
      <w:szCs w:val="20"/>
      <w:u w:val="none"/>
    </w:rPr>
  </w:style>
  <w:style w:type="character" w:styleId="ListLabel56" w:customStyle="1">
    <w:name w:val="ListLabel 56"/>
    <w:qFormat/>
    <w:rPr>
      <w:bCs/>
      <w:sz w:val="20"/>
      <w:szCs w:val="20"/>
    </w:rPr>
  </w:style>
  <w:style w:type="character" w:styleId="ListLabel55" w:customStyle="1">
    <w:name w:val="ListLabel 55"/>
    <w:qFormat/>
    <w:rPr>
      <w:rFonts w:eastAsia="Arial Unicode MS"/>
      <w:color w:val="000000"/>
      <w:sz w:val="20"/>
      <w:szCs w:val="20"/>
    </w:rPr>
  </w:style>
  <w:style w:type="character" w:styleId="ListLabel61" w:customStyle="1">
    <w:name w:val="ListLabel 61"/>
    <w:qFormat/>
    <w:rPr>
      <w:color w:val="auto"/>
      <w:sz w:val="20"/>
      <w:szCs w:val="20"/>
      <w:u w:val="none"/>
    </w:rPr>
  </w:style>
  <w:style w:type="character" w:styleId="ListLabel62" w:customStyle="1">
    <w:name w:val="ListLabel 62"/>
    <w:qFormat/>
    <w:rPr>
      <w:bCs/>
      <w:sz w:val="20"/>
      <w:szCs w:val="20"/>
    </w:rPr>
  </w:style>
  <w:style w:type="character" w:styleId="ListLabel63" w:customStyle="1">
    <w:name w:val="ListLabel 63"/>
    <w:qFormat/>
    <w:rPr>
      <w:color w:val="auto"/>
      <w:sz w:val="20"/>
      <w:szCs w:val="20"/>
      <w:u w:val="none"/>
    </w:rPr>
  </w:style>
  <w:style w:type="character" w:styleId="ListLabel64" w:customStyle="1">
    <w:name w:val="ListLabel 64"/>
    <w:qFormat/>
    <w:rPr>
      <w:bCs/>
      <w:sz w:val="20"/>
      <w:szCs w:val="20"/>
    </w:rPr>
  </w:style>
  <w:style w:type="character" w:styleId="ListLabel65" w:customStyle="1">
    <w:name w:val="ListLabel 65"/>
    <w:qFormat/>
    <w:rPr>
      <w:color w:val="auto"/>
      <w:sz w:val="20"/>
      <w:szCs w:val="20"/>
      <w:u w:val="none"/>
    </w:rPr>
  </w:style>
  <w:style w:type="character" w:styleId="ListLabel66" w:customStyle="1">
    <w:name w:val="ListLabel 66"/>
    <w:qFormat/>
    <w:rPr>
      <w:bCs/>
      <w:sz w:val="20"/>
      <w:szCs w:val="20"/>
    </w:rPr>
  </w:style>
  <w:style w:type="character" w:styleId="ListLabel67" w:customStyle="1">
    <w:name w:val="ListLabel 67"/>
    <w:qFormat/>
    <w:rPr>
      <w:color w:val="auto"/>
      <w:sz w:val="20"/>
      <w:szCs w:val="20"/>
      <w:u w:val="none"/>
    </w:rPr>
  </w:style>
  <w:style w:type="character" w:styleId="ListLabel68" w:customStyle="1">
    <w:name w:val="ListLabel 68"/>
    <w:qFormat/>
    <w:rPr>
      <w:bCs/>
      <w:sz w:val="20"/>
      <w:szCs w:val="20"/>
    </w:rPr>
  </w:style>
  <w:style w:type="character" w:styleId="ListLabel69" w:customStyle="1">
    <w:name w:val="ListLabel 69"/>
    <w:qFormat/>
    <w:rPr>
      <w:color w:val="auto"/>
      <w:sz w:val="20"/>
      <w:szCs w:val="20"/>
      <w:u w:val="none"/>
    </w:rPr>
  </w:style>
  <w:style w:type="character" w:styleId="ListLabel70" w:customStyle="1">
    <w:name w:val="ListLabel 70"/>
    <w:qFormat/>
    <w:rPr>
      <w:bCs/>
      <w:sz w:val="20"/>
      <w:szCs w:val="20"/>
    </w:rPr>
  </w:style>
  <w:style w:type="character" w:styleId="Style12" w:customStyle="1">
    <w:name w:val="Символ нумерации"/>
    <w:qFormat/>
    <w:rPr/>
  </w:style>
  <w:style w:type="character" w:styleId="ListLabel71" w:customStyle="1">
    <w:name w:val="ListLabel 71"/>
    <w:qFormat/>
    <w:rPr>
      <w:color w:val="auto"/>
      <w:sz w:val="20"/>
      <w:szCs w:val="20"/>
      <w:u w:val="none"/>
    </w:rPr>
  </w:style>
  <w:style w:type="character" w:styleId="ListLabel72" w:customStyle="1">
    <w:name w:val="ListLabel 72"/>
    <w:qFormat/>
    <w:rPr>
      <w:bCs/>
      <w:sz w:val="20"/>
      <w:szCs w:val="20"/>
    </w:rPr>
  </w:style>
  <w:style w:type="character" w:styleId="ListLabel73" w:customStyle="1">
    <w:name w:val="ListLabel 73"/>
    <w:qFormat/>
    <w:rPr>
      <w:color w:val="auto"/>
      <w:sz w:val="20"/>
      <w:szCs w:val="20"/>
      <w:u w:val="none"/>
    </w:rPr>
  </w:style>
  <w:style w:type="character" w:styleId="ListLabel74" w:customStyle="1">
    <w:name w:val="ListLabel 74"/>
    <w:qFormat/>
    <w:rPr>
      <w:bCs/>
      <w:sz w:val="20"/>
      <w:szCs w:val="20"/>
    </w:rPr>
  </w:style>
  <w:style w:type="character" w:styleId="ListLabel75" w:customStyle="1">
    <w:name w:val="ListLabel 75"/>
    <w:qFormat/>
    <w:rPr>
      <w:color w:val="auto"/>
      <w:sz w:val="20"/>
      <w:szCs w:val="20"/>
      <w:u w:val="none"/>
    </w:rPr>
  </w:style>
  <w:style w:type="character" w:styleId="ListLabel76" w:customStyle="1">
    <w:name w:val="ListLabel 76"/>
    <w:qFormat/>
    <w:rPr>
      <w:bCs/>
      <w:sz w:val="20"/>
      <w:szCs w:val="20"/>
    </w:rPr>
  </w:style>
  <w:style w:type="character" w:styleId="ListLabel77" w:customStyle="1">
    <w:name w:val="ListLabel 77"/>
    <w:qFormat/>
    <w:rPr>
      <w:color w:val="auto"/>
      <w:sz w:val="20"/>
      <w:szCs w:val="20"/>
      <w:u w:val="none"/>
    </w:rPr>
  </w:style>
  <w:style w:type="character" w:styleId="ListLabel78" w:customStyle="1">
    <w:name w:val="ListLabel 78"/>
    <w:qFormat/>
    <w:rPr>
      <w:bCs/>
      <w:sz w:val="20"/>
      <w:szCs w:val="20"/>
    </w:rPr>
  </w:style>
  <w:style w:type="character" w:styleId="ListLabel79" w:customStyle="1">
    <w:name w:val="ListLabel 79"/>
    <w:qFormat/>
    <w:rPr>
      <w:color w:val="auto"/>
      <w:sz w:val="20"/>
      <w:szCs w:val="20"/>
      <w:u w:val="none"/>
    </w:rPr>
  </w:style>
  <w:style w:type="character" w:styleId="ListLabel80" w:customStyle="1">
    <w:name w:val="ListLabel 80"/>
    <w:qFormat/>
    <w:rPr>
      <w:bCs/>
      <w:sz w:val="20"/>
      <w:szCs w:val="20"/>
    </w:rPr>
  </w:style>
  <w:style w:type="character" w:styleId="ListLabel81" w:customStyle="1">
    <w:name w:val="ListLabel 81"/>
    <w:qFormat/>
    <w:rPr>
      <w:color w:val="auto"/>
      <w:sz w:val="20"/>
      <w:szCs w:val="20"/>
      <w:u w:val="none"/>
    </w:rPr>
  </w:style>
  <w:style w:type="character" w:styleId="ListLabel82" w:customStyle="1">
    <w:name w:val="ListLabel 82"/>
    <w:qFormat/>
    <w:rPr>
      <w:bCs/>
      <w:sz w:val="20"/>
      <w:szCs w:val="20"/>
    </w:rPr>
  </w:style>
  <w:style w:type="character" w:styleId="ListLabel83" w:customStyle="1">
    <w:name w:val="ListLabel 83"/>
    <w:qFormat/>
    <w:rPr>
      <w:color w:val="auto"/>
      <w:sz w:val="20"/>
      <w:szCs w:val="20"/>
      <w:u w:val="none"/>
    </w:rPr>
  </w:style>
  <w:style w:type="character" w:styleId="ListLabel84" w:customStyle="1">
    <w:name w:val="ListLabel 84"/>
    <w:qFormat/>
    <w:rPr>
      <w:bCs/>
      <w:sz w:val="20"/>
      <w:szCs w:val="20"/>
    </w:rPr>
  </w:style>
  <w:style w:type="character" w:styleId="ListLabel85" w:customStyle="1">
    <w:name w:val="ListLabel 85"/>
    <w:qFormat/>
    <w:rPr>
      <w:color w:val="auto"/>
      <w:sz w:val="20"/>
      <w:szCs w:val="20"/>
      <w:u w:val="none"/>
    </w:rPr>
  </w:style>
  <w:style w:type="character" w:styleId="ListLabel86" w:customStyle="1">
    <w:name w:val="ListLabel 86"/>
    <w:qFormat/>
    <w:rPr>
      <w:bCs/>
      <w:sz w:val="20"/>
      <w:szCs w:val="20"/>
    </w:rPr>
  </w:style>
  <w:style w:type="character" w:styleId="ListLabel87" w:customStyle="1">
    <w:name w:val="ListLabel 87"/>
    <w:qFormat/>
    <w:rPr>
      <w:color w:val="auto"/>
      <w:sz w:val="20"/>
      <w:szCs w:val="20"/>
      <w:u w:val="none"/>
    </w:rPr>
  </w:style>
  <w:style w:type="character" w:styleId="ListLabel88" w:customStyle="1">
    <w:name w:val="ListLabel 88"/>
    <w:qFormat/>
    <w:rPr>
      <w:bCs/>
      <w:sz w:val="20"/>
      <w:szCs w:val="20"/>
    </w:rPr>
  </w:style>
  <w:style w:type="character" w:styleId="ListLabel89" w:customStyle="1">
    <w:name w:val="ListLabel 89"/>
    <w:qFormat/>
    <w:rPr>
      <w:color w:val="auto"/>
      <w:sz w:val="20"/>
      <w:szCs w:val="20"/>
      <w:u w:val="none"/>
    </w:rPr>
  </w:style>
  <w:style w:type="character" w:styleId="ListLabel90" w:customStyle="1">
    <w:name w:val="ListLabel 90"/>
    <w:qFormat/>
    <w:rPr>
      <w:bCs/>
      <w:sz w:val="20"/>
      <w:szCs w:val="20"/>
    </w:rPr>
  </w:style>
  <w:style w:type="character" w:styleId="ListLabel91" w:customStyle="1">
    <w:name w:val="ListLabel 91"/>
    <w:qFormat/>
    <w:rPr>
      <w:color w:val="auto"/>
      <w:sz w:val="20"/>
      <w:szCs w:val="20"/>
      <w:u w:val="none"/>
    </w:rPr>
  </w:style>
  <w:style w:type="character" w:styleId="ListLabel92" w:customStyle="1">
    <w:name w:val="ListLabel 92"/>
    <w:qFormat/>
    <w:rPr>
      <w:rFonts w:eastAsia="Times New Roman" w:cs="Times New Roman"/>
      <w:b w:val="false"/>
      <w:bCs/>
      <w:i w:val="false"/>
      <w:caps w:val="false"/>
      <w:smallCaps w:val="false"/>
      <w:strike w:val="false"/>
      <w:dstrike w:val="false"/>
      <w:color w:val="auto"/>
      <w:spacing w:val="0"/>
      <w:kern w:val="0"/>
      <w:sz w:val="22"/>
      <w:szCs w:val="22"/>
      <w:u w:val="none"/>
      <w:effect w:val="none"/>
      <w:lang w:val="ru-RU" w:eastAsia="ru-RU" w:bidi="ar-SA"/>
    </w:rPr>
  </w:style>
  <w:style w:type="character" w:styleId="ListLabel93" w:customStyle="1">
    <w:name w:val="ListLabel 93"/>
    <w:qFormat/>
    <w:rPr>
      <w:bCs/>
      <w:sz w:val="20"/>
      <w:szCs w:val="20"/>
    </w:rPr>
  </w:style>
  <w:style w:type="character" w:styleId="ListLabel94" w:customStyle="1">
    <w:name w:val="ListLabel 94"/>
    <w:qFormat/>
    <w:rPr>
      <w:color w:val="auto"/>
      <w:sz w:val="20"/>
      <w:szCs w:val="20"/>
      <w:u w:val="none"/>
    </w:rPr>
  </w:style>
  <w:style w:type="character" w:styleId="ListLabel95" w:customStyle="1">
    <w:name w:val="ListLabel 95"/>
    <w:qFormat/>
    <w:rPr>
      <w:rFonts w:eastAsia="Times New Roman" w:cs="Times New Roman"/>
      <w:b w:val="false"/>
      <w:bCs/>
      <w:i w:val="false"/>
      <w:caps w:val="false"/>
      <w:smallCaps w:val="false"/>
      <w:strike w:val="false"/>
      <w:dstrike w:val="false"/>
      <w:color w:val="auto"/>
      <w:spacing w:val="0"/>
      <w:kern w:val="0"/>
      <w:sz w:val="22"/>
      <w:szCs w:val="22"/>
      <w:u w:val="none"/>
      <w:effect w:val="none"/>
      <w:lang w:val="ru-RU" w:eastAsia="ru-RU" w:bidi="ar-SA"/>
    </w:rPr>
  </w:style>
  <w:style w:type="character" w:styleId="ListLabel96" w:customStyle="1">
    <w:name w:val="ListLabel 96"/>
    <w:qFormat/>
    <w:rPr>
      <w:bCs/>
      <w:sz w:val="20"/>
      <w:szCs w:val="20"/>
    </w:rPr>
  </w:style>
  <w:style w:type="character" w:styleId="ListLabel97" w:customStyle="1">
    <w:name w:val="ListLabel 97"/>
    <w:qFormat/>
    <w:rPr>
      <w:color w:val="auto"/>
      <w:sz w:val="20"/>
      <w:szCs w:val="20"/>
      <w:u w:val="none"/>
    </w:rPr>
  </w:style>
  <w:style w:type="character" w:styleId="ListLabel98" w:customStyle="1">
    <w:name w:val="ListLabel 98"/>
    <w:qFormat/>
    <w:rPr>
      <w:rFonts w:eastAsia="Times New Roman" w:cs="Times New Roman"/>
      <w:b w:val="false"/>
      <w:bCs/>
      <w:i w:val="false"/>
      <w:caps w:val="false"/>
      <w:smallCaps w:val="false"/>
      <w:strike w:val="false"/>
      <w:dstrike w:val="false"/>
      <w:color w:val="auto"/>
      <w:spacing w:val="0"/>
      <w:kern w:val="0"/>
      <w:sz w:val="22"/>
      <w:szCs w:val="22"/>
      <w:u w:val="none"/>
      <w:effect w:val="none"/>
      <w:lang w:val="ru-RU" w:eastAsia="ru-RU" w:bidi="ar-SA"/>
    </w:rPr>
  </w:style>
  <w:style w:type="character" w:styleId="ListLabel99" w:customStyle="1">
    <w:name w:val="ListLabel 99"/>
    <w:qFormat/>
    <w:rPr>
      <w:bCs/>
      <w:sz w:val="20"/>
      <w:szCs w:val="20"/>
    </w:rPr>
  </w:style>
  <w:style w:type="character" w:styleId="ListLabel100" w:customStyle="1">
    <w:name w:val="ListLabel 100"/>
    <w:qFormat/>
    <w:rPr>
      <w:color w:val="auto"/>
      <w:sz w:val="22"/>
      <w:szCs w:val="22"/>
      <w:u w:val="none"/>
    </w:rPr>
  </w:style>
  <w:style w:type="character" w:styleId="ListLabel101" w:customStyle="1">
    <w:name w:val="ListLabel 101"/>
    <w:qFormat/>
    <w:rPr>
      <w:bCs/>
      <w:sz w:val="22"/>
      <w:szCs w:val="22"/>
    </w:rPr>
  </w:style>
  <w:style w:type="character" w:styleId="ListLabel102" w:customStyle="1">
    <w:name w:val="ListLabel 102"/>
    <w:qFormat/>
    <w:rPr>
      <w:color w:val="auto"/>
      <w:sz w:val="22"/>
      <w:szCs w:val="22"/>
      <w:u w:val="none"/>
    </w:rPr>
  </w:style>
  <w:style w:type="character" w:styleId="ListLabel103" w:customStyle="1">
    <w:name w:val="ListLabel 103"/>
    <w:qFormat/>
    <w:rPr>
      <w:bCs/>
      <w:sz w:val="22"/>
      <w:szCs w:val="22"/>
    </w:rPr>
  </w:style>
  <w:style w:type="character" w:styleId="ListLabel104" w:customStyle="1">
    <w:name w:val="ListLabel 104"/>
    <w:qFormat/>
    <w:rPr>
      <w:color w:val="auto"/>
      <w:sz w:val="22"/>
      <w:szCs w:val="22"/>
      <w:u w:val="none"/>
    </w:rPr>
  </w:style>
  <w:style w:type="character" w:styleId="ListLabel105" w:customStyle="1">
    <w:name w:val="ListLabel 105"/>
    <w:qFormat/>
    <w:rPr>
      <w:bCs/>
      <w:sz w:val="22"/>
      <w:szCs w:val="22"/>
    </w:rPr>
  </w:style>
  <w:style w:type="character" w:styleId="ListLabel106" w:customStyle="1">
    <w:name w:val="ListLabel 106"/>
    <w:qFormat/>
    <w:rPr>
      <w:color w:val="auto"/>
      <w:sz w:val="22"/>
      <w:szCs w:val="22"/>
      <w:u w:val="none"/>
    </w:rPr>
  </w:style>
  <w:style w:type="character" w:styleId="ListLabel107" w:customStyle="1">
    <w:name w:val="ListLabel 107"/>
    <w:qFormat/>
    <w:rPr>
      <w:bCs/>
      <w:sz w:val="22"/>
      <w:szCs w:val="22"/>
    </w:rPr>
  </w:style>
  <w:style w:type="character" w:styleId="ListLabel108" w:customStyle="1">
    <w:name w:val="ListLabel 108"/>
    <w:qFormat/>
    <w:rPr>
      <w:color w:val="auto"/>
      <w:sz w:val="22"/>
      <w:szCs w:val="22"/>
      <w:u w:val="none"/>
    </w:rPr>
  </w:style>
  <w:style w:type="character" w:styleId="ListLabel109" w:customStyle="1">
    <w:name w:val="ListLabel 109"/>
    <w:qFormat/>
    <w:rPr>
      <w:bCs/>
      <w:sz w:val="22"/>
      <w:szCs w:val="22"/>
    </w:rPr>
  </w:style>
  <w:style w:type="character" w:styleId="Style13" w:customStyle="1">
    <w:name w:val="Выделение жирным"/>
    <w:qFormat/>
    <w:rPr>
      <w:b/>
      <w:bCs/>
    </w:rPr>
  </w:style>
  <w:style w:type="character" w:styleId="ListLabel110" w:customStyle="1">
    <w:name w:val="ListLabel 110"/>
    <w:qFormat/>
    <w:rPr>
      <w:color w:val="auto"/>
      <w:sz w:val="22"/>
      <w:szCs w:val="22"/>
      <w:u w:val="none"/>
    </w:rPr>
  </w:style>
  <w:style w:type="character" w:styleId="ListLabel111" w:customStyle="1">
    <w:name w:val="ListLabel 111"/>
    <w:qFormat/>
    <w:rPr>
      <w:bCs/>
      <w:sz w:val="22"/>
      <w:szCs w:val="22"/>
    </w:rPr>
  </w:style>
  <w:style w:type="character" w:styleId="ListLabel112" w:customStyle="1">
    <w:name w:val="ListLabel 112"/>
    <w:qFormat/>
    <w:rPr>
      <w:color w:val="auto"/>
      <w:sz w:val="22"/>
      <w:szCs w:val="22"/>
      <w:u w:val="none"/>
    </w:rPr>
  </w:style>
  <w:style w:type="character" w:styleId="ListLabel113" w:customStyle="1">
    <w:name w:val="ListLabel 113"/>
    <w:qFormat/>
    <w:rPr>
      <w:bCs/>
      <w:sz w:val="22"/>
      <w:szCs w:val="22"/>
    </w:rPr>
  </w:style>
  <w:style w:type="character" w:styleId="ListLabel114" w:customStyle="1">
    <w:name w:val="ListLabel 114"/>
    <w:qFormat/>
    <w:rPr>
      <w:color w:val="auto"/>
      <w:sz w:val="22"/>
      <w:szCs w:val="22"/>
      <w:u w:val="none"/>
    </w:rPr>
  </w:style>
  <w:style w:type="character" w:styleId="ListLabel115" w:customStyle="1">
    <w:name w:val="ListLabel 115"/>
    <w:qFormat/>
    <w:rPr>
      <w:bCs/>
      <w:sz w:val="22"/>
      <w:szCs w:val="22"/>
    </w:rPr>
  </w:style>
  <w:style w:type="character" w:styleId="ListLabel116" w:customStyle="1">
    <w:name w:val="ListLabel 116"/>
    <w:qFormat/>
    <w:rPr>
      <w:color w:val="auto"/>
      <w:sz w:val="22"/>
      <w:szCs w:val="22"/>
      <w:u w:val="none"/>
    </w:rPr>
  </w:style>
  <w:style w:type="character" w:styleId="ListLabel117" w:customStyle="1">
    <w:name w:val="ListLabel 117"/>
    <w:qFormat/>
    <w:rPr>
      <w:bCs/>
      <w:sz w:val="22"/>
      <w:szCs w:val="22"/>
    </w:rPr>
  </w:style>
  <w:style w:type="character" w:styleId="ListLabel118" w:customStyle="1">
    <w:name w:val="ListLabel 118"/>
    <w:qFormat/>
    <w:rPr>
      <w:color w:val="auto"/>
      <w:sz w:val="22"/>
      <w:szCs w:val="22"/>
      <w:u w:val="none"/>
    </w:rPr>
  </w:style>
  <w:style w:type="character" w:styleId="ListLabel119" w:customStyle="1">
    <w:name w:val="ListLabel 119"/>
    <w:qFormat/>
    <w:rPr>
      <w:bCs/>
      <w:sz w:val="22"/>
      <w:szCs w:val="22"/>
    </w:rPr>
  </w:style>
  <w:style w:type="character" w:styleId="ListLabel120" w:customStyle="1">
    <w:name w:val="ListLabel 120"/>
    <w:qFormat/>
    <w:rPr>
      <w:color w:val="auto"/>
      <w:sz w:val="22"/>
      <w:szCs w:val="22"/>
      <w:u w:val="none"/>
    </w:rPr>
  </w:style>
  <w:style w:type="character" w:styleId="ListLabel121" w:customStyle="1">
    <w:name w:val="ListLabel 121"/>
    <w:qFormat/>
    <w:rPr>
      <w:bCs/>
      <w:sz w:val="22"/>
      <w:szCs w:val="22"/>
    </w:rPr>
  </w:style>
  <w:style w:type="character" w:styleId="ListLabel122" w:customStyle="1">
    <w:name w:val="ListLabel 122"/>
    <w:qFormat/>
    <w:rPr>
      <w:color w:val="auto"/>
      <w:sz w:val="22"/>
      <w:szCs w:val="22"/>
      <w:u w:val="none"/>
    </w:rPr>
  </w:style>
  <w:style w:type="character" w:styleId="ListLabel123" w:customStyle="1">
    <w:name w:val="ListLabel 123"/>
    <w:qFormat/>
    <w:rPr>
      <w:bCs/>
      <w:sz w:val="22"/>
      <w:szCs w:val="22"/>
    </w:rPr>
  </w:style>
  <w:style w:type="character" w:styleId="ListLabel124" w:customStyle="1">
    <w:name w:val="ListLabel 124"/>
    <w:qFormat/>
    <w:rPr>
      <w:color w:val="auto"/>
      <w:sz w:val="22"/>
      <w:szCs w:val="22"/>
      <w:u w:val="none"/>
    </w:rPr>
  </w:style>
  <w:style w:type="character" w:styleId="ListLabel125" w:customStyle="1">
    <w:name w:val="ListLabel 125"/>
    <w:qFormat/>
    <w:rPr>
      <w:bCs/>
      <w:sz w:val="22"/>
      <w:szCs w:val="22"/>
    </w:rPr>
  </w:style>
  <w:style w:type="character" w:styleId="ListLabel126" w:customStyle="1">
    <w:name w:val="ListLabel 126"/>
    <w:qFormat/>
    <w:rPr>
      <w:color w:val="auto"/>
      <w:sz w:val="22"/>
      <w:szCs w:val="22"/>
      <w:u w:val="none"/>
    </w:rPr>
  </w:style>
  <w:style w:type="character" w:styleId="ListLabel127" w:customStyle="1">
    <w:name w:val="ListLabel 127"/>
    <w:qFormat/>
    <w:rPr>
      <w:bCs/>
      <w:sz w:val="22"/>
      <w:szCs w:val="22"/>
    </w:rPr>
  </w:style>
  <w:style w:type="character" w:styleId="ListLabel128" w:customStyle="1">
    <w:name w:val="ListLabel 128"/>
    <w:qFormat/>
    <w:rPr>
      <w:color w:val="auto"/>
      <w:sz w:val="22"/>
      <w:szCs w:val="22"/>
      <w:u w:val="none"/>
    </w:rPr>
  </w:style>
  <w:style w:type="character" w:styleId="ListLabel129" w:customStyle="1">
    <w:name w:val="ListLabel 129"/>
    <w:qFormat/>
    <w:rPr>
      <w:bCs/>
      <w:sz w:val="22"/>
      <w:szCs w:val="22"/>
    </w:rPr>
  </w:style>
  <w:style w:type="character" w:styleId="ListLabel130" w:customStyle="1">
    <w:name w:val="ListLabel 130"/>
    <w:qFormat/>
    <w:rPr>
      <w:color w:val="auto"/>
      <w:sz w:val="22"/>
      <w:szCs w:val="22"/>
      <w:u w:val="none"/>
    </w:rPr>
  </w:style>
  <w:style w:type="character" w:styleId="ListLabel131" w:customStyle="1">
    <w:name w:val="ListLabel 131"/>
    <w:qFormat/>
    <w:rPr>
      <w:bCs/>
      <w:sz w:val="22"/>
      <w:szCs w:val="22"/>
    </w:rPr>
  </w:style>
  <w:style w:type="character" w:styleId="ListLabel132" w:customStyle="1">
    <w:name w:val="ListLabel 132"/>
    <w:qFormat/>
    <w:rPr>
      <w:color w:val="auto"/>
      <w:sz w:val="22"/>
      <w:szCs w:val="22"/>
      <w:u w:val="none"/>
    </w:rPr>
  </w:style>
  <w:style w:type="character" w:styleId="ListLabel133" w:customStyle="1">
    <w:name w:val="ListLabel 133"/>
    <w:qFormat/>
    <w:rPr>
      <w:bCs/>
      <w:sz w:val="22"/>
      <w:szCs w:val="22"/>
    </w:rPr>
  </w:style>
  <w:style w:type="character" w:styleId="ListLabel134" w:customStyle="1">
    <w:name w:val="ListLabel 134"/>
    <w:qFormat/>
    <w:rPr>
      <w:color w:val="auto"/>
      <w:sz w:val="22"/>
      <w:szCs w:val="22"/>
      <w:u w:val="none"/>
    </w:rPr>
  </w:style>
  <w:style w:type="character" w:styleId="ListLabel135" w:customStyle="1">
    <w:name w:val="ListLabel 135"/>
    <w:qFormat/>
    <w:rPr>
      <w:bCs/>
      <w:sz w:val="22"/>
      <w:szCs w:val="22"/>
    </w:rPr>
  </w:style>
  <w:style w:type="character" w:styleId="ListLabel136" w:customStyle="1">
    <w:name w:val="ListLabel 136"/>
    <w:qFormat/>
    <w:rPr>
      <w:color w:val="auto"/>
      <w:sz w:val="22"/>
      <w:szCs w:val="22"/>
      <w:u w:val="none"/>
    </w:rPr>
  </w:style>
  <w:style w:type="character" w:styleId="ListLabel137" w:customStyle="1">
    <w:name w:val="ListLabel 137"/>
    <w:qFormat/>
    <w:rPr>
      <w:bCs/>
      <w:sz w:val="22"/>
      <w:szCs w:val="22"/>
    </w:rPr>
  </w:style>
  <w:style w:type="character" w:styleId="ListLabel138" w:customStyle="1">
    <w:name w:val="ListLabel 138"/>
    <w:qFormat/>
    <w:rPr>
      <w:color w:val="auto"/>
      <w:sz w:val="22"/>
      <w:szCs w:val="22"/>
      <w:u w:val="none"/>
    </w:rPr>
  </w:style>
  <w:style w:type="character" w:styleId="ListLabel139" w:customStyle="1">
    <w:name w:val="ListLabel 139"/>
    <w:qFormat/>
    <w:rPr>
      <w:bCs/>
      <w:sz w:val="22"/>
      <w:szCs w:val="22"/>
    </w:rPr>
  </w:style>
  <w:style w:type="character" w:styleId="ListLabel140" w:customStyle="1">
    <w:name w:val="ListLabel 140"/>
    <w:qFormat/>
    <w:rPr>
      <w:color w:val="auto"/>
      <w:sz w:val="22"/>
      <w:szCs w:val="22"/>
      <w:u w:val="none"/>
    </w:rPr>
  </w:style>
  <w:style w:type="character" w:styleId="ListLabel141" w:customStyle="1">
    <w:name w:val="ListLabel 141"/>
    <w:qFormat/>
    <w:rPr>
      <w:bCs/>
      <w:sz w:val="22"/>
      <w:szCs w:val="22"/>
    </w:rPr>
  </w:style>
  <w:style w:type="character" w:styleId="ListLabel142" w:customStyle="1">
    <w:name w:val="ListLabel 142"/>
    <w:qFormat/>
    <w:rPr>
      <w:color w:val="auto"/>
      <w:sz w:val="22"/>
      <w:szCs w:val="22"/>
      <w:u w:val="none"/>
    </w:rPr>
  </w:style>
  <w:style w:type="character" w:styleId="ListLabel143" w:customStyle="1">
    <w:name w:val="ListLabel 143"/>
    <w:qFormat/>
    <w:rPr>
      <w:bCs/>
      <w:sz w:val="22"/>
      <w:szCs w:val="22"/>
    </w:rPr>
  </w:style>
  <w:style w:type="character" w:styleId="ListLabel144" w:customStyle="1">
    <w:name w:val="ListLabel 144"/>
    <w:qFormat/>
    <w:rPr>
      <w:color w:val="auto"/>
      <w:sz w:val="22"/>
      <w:szCs w:val="22"/>
      <w:u w:val="none"/>
    </w:rPr>
  </w:style>
  <w:style w:type="character" w:styleId="ListLabel145" w:customStyle="1">
    <w:name w:val="ListLabel 145"/>
    <w:qFormat/>
    <w:rPr>
      <w:bCs/>
      <w:sz w:val="22"/>
      <w:szCs w:val="22"/>
    </w:rPr>
  </w:style>
  <w:style w:type="character" w:styleId="ListLabel146" w:customStyle="1">
    <w:name w:val="ListLabel 146"/>
    <w:qFormat/>
    <w:rPr>
      <w:color w:val="auto"/>
      <w:sz w:val="22"/>
      <w:szCs w:val="22"/>
      <w:u w:val="none"/>
    </w:rPr>
  </w:style>
  <w:style w:type="character" w:styleId="ListLabel147" w:customStyle="1">
    <w:name w:val="ListLabel 147"/>
    <w:qFormat/>
    <w:rPr>
      <w:bCs/>
      <w:sz w:val="22"/>
      <w:szCs w:val="22"/>
    </w:rPr>
  </w:style>
  <w:style w:type="character" w:styleId="ListLabel148" w:customStyle="1">
    <w:name w:val="ListLabel 148"/>
    <w:qFormat/>
    <w:rPr>
      <w:color w:val="auto"/>
      <w:sz w:val="22"/>
      <w:szCs w:val="22"/>
      <w:u w:val="none"/>
    </w:rPr>
  </w:style>
  <w:style w:type="character" w:styleId="ListLabel149" w:customStyle="1">
    <w:name w:val="ListLabel 149"/>
    <w:qFormat/>
    <w:rPr>
      <w:bCs/>
      <w:sz w:val="22"/>
      <w:szCs w:val="22"/>
    </w:rPr>
  </w:style>
  <w:style w:type="character" w:styleId="ListLabel150">
    <w:name w:val="ListLabel 150"/>
    <w:qFormat/>
    <w:rPr>
      <w:color w:val="auto"/>
      <w:sz w:val="22"/>
      <w:szCs w:val="22"/>
      <w:u w:val="none"/>
    </w:rPr>
  </w:style>
  <w:style w:type="character" w:styleId="ListLabel151">
    <w:name w:val="ListLabel 151"/>
    <w:qFormat/>
    <w:rPr>
      <w:bCs/>
      <w:sz w:val="22"/>
      <w:szCs w:val="22"/>
    </w:rPr>
  </w:style>
  <w:style w:type="character" w:styleId="ListLabel152">
    <w:name w:val="ListLabel 152"/>
    <w:qFormat/>
    <w:rPr>
      <w:color w:val="auto"/>
      <w:sz w:val="22"/>
      <w:szCs w:val="22"/>
      <w:u w:val="none"/>
    </w:rPr>
  </w:style>
  <w:style w:type="character" w:styleId="ListLabel153">
    <w:name w:val="ListLabel 153"/>
    <w:qFormat/>
    <w:rPr>
      <w:bCs/>
      <w:sz w:val="22"/>
      <w:szCs w:val="22"/>
    </w:rPr>
  </w:style>
  <w:style w:type="character" w:styleId="ListLabel154">
    <w:name w:val="ListLabel 154"/>
    <w:qFormat/>
    <w:rPr>
      <w:color w:val="auto"/>
      <w:sz w:val="22"/>
      <w:szCs w:val="22"/>
      <w:u w:val="none"/>
    </w:rPr>
  </w:style>
  <w:style w:type="character" w:styleId="ListLabel155">
    <w:name w:val="ListLabel 155"/>
    <w:qFormat/>
    <w:rPr>
      <w:bCs/>
      <w:sz w:val="22"/>
      <w:szCs w:val="22"/>
    </w:rPr>
  </w:style>
  <w:style w:type="character" w:styleId="ListLabel156">
    <w:name w:val="ListLabel 156"/>
    <w:qFormat/>
    <w:rPr>
      <w:color w:val="auto"/>
      <w:sz w:val="22"/>
      <w:szCs w:val="22"/>
      <w:u w:val="none"/>
    </w:rPr>
  </w:style>
  <w:style w:type="character" w:styleId="ListLabel157">
    <w:name w:val="ListLabel 157"/>
    <w:qFormat/>
    <w:rPr>
      <w:bCs/>
      <w:sz w:val="22"/>
      <w:szCs w:val="22"/>
    </w:rPr>
  </w:style>
  <w:style w:type="character" w:styleId="ListLabel158">
    <w:name w:val="ListLabel 158"/>
    <w:qFormat/>
    <w:rPr>
      <w:color w:val="auto"/>
      <w:sz w:val="22"/>
      <w:szCs w:val="22"/>
      <w:u w:val="none"/>
    </w:rPr>
  </w:style>
  <w:style w:type="character" w:styleId="ListLabel159">
    <w:name w:val="ListLabel 159"/>
    <w:qFormat/>
    <w:rPr>
      <w:bCs/>
      <w:sz w:val="22"/>
      <w:szCs w:val="22"/>
    </w:rPr>
  </w:style>
  <w:style w:type="character" w:styleId="ListLabel160">
    <w:name w:val="ListLabel 160"/>
    <w:qFormat/>
    <w:rPr>
      <w:color w:val="auto"/>
      <w:sz w:val="22"/>
      <w:szCs w:val="22"/>
      <w:u w:val="none"/>
    </w:rPr>
  </w:style>
  <w:style w:type="character" w:styleId="ListLabel161">
    <w:name w:val="ListLabel 161"/>
    <w:qFormat/>
    <w:rPr>
      <w:bCs/>
      <w:sz w:val="22"/>
      <w:szCs w:val="22"/>
    </w:rPr>
  </w:style>
  <w:style w:type="character" w:styleId="ListLabel162">
    <w:name w:val="ListLabel 162"/>
    <w:qFormat/>
    <w:rPr>
      <w:color w:val="auto"/>
      <w:sz w:val="22"/>
      <w:szCs w:val="22"/>
      <w:u w:val="none"/>
    </w:rPr>
  </w:style>
  <w:style w:type="character" w:styleId="ListLabel163">
    <w:name w:val="ListLabel 163"/>
    <w:qFormat/>
    <w:rPr>
      <w:bCs/>
      <w:sz w:val="22"/>
      <w:szCs w:val="22"/>
    </w:rPr>
  </w:style>
  <w:style w:type="character" w:styleId="ListLabel164">
    <w:name w:val="ListLabel 164"/>
    <w:qFormat/>
    <w:rPr>
      <w:color w:val="auto"/>
      <w:sz w:val="22"/>
      <w:szCs w:val="22"/>
      <w:u w:val="none"/>
    </w:rPr>
  </w:style>
  <w:style w:type="character" w:styleId="ListLabel165">
    <w:name w:val="ListLabel 165"/>
    <w:qFormat/>
    <w:rPr>
      <w:bCs/>
      <w:sz w:val="22"/>
      <w:szCs w:val="22"/>
    </w:rPr>
  </w:style>
  <w:style w:type="character" w:styleId="ListLabel166">
    <w:name w:val="ListLabel 166"/>
    <w:qFormat/>
    <w:rPr>
      <w:color w:val="auto"/>
      <w:sz w:val="22"/>
      <w:szCs w:val="22"/>
      <w:u w:val="none"/>
    </w:rPr>
  </w:style>
  <w:style w:type="character" w:styleId="ListLabel167">
    <w:name w:val="ListLabel 167"/>
    <w:qFormat/>
    <w:rPr>
      <w:bCs/>
      <w:sz w:val="22"/>
      <w:szCs w:val="22"/>
    </w:rPr>
  </w:style>
  <w:style w:type="character" w:styleId="ListLabel168">
    <w:name w:val="ListLabel 168"/>
    <w:qFormat/>
    <w:rPr>
      <w:color w:val="auto"/>
      <w:sz w:val="22"/>
      <w:szCs w:val="22"/>
      <w:u w:val="none"/>
    </w:rPr>
  </w:style>
  <w:style w:type="character" w:styleId="ListLabel169">
    <w:name w:val="ListLabel 169"/>
    <w:qFormat/>
    <w:rPr>
      <w:bCs/>
      <w:sz w:val="22"/>
      <w:szCs w:val="22"/>
    </w:rPr>
  </w:style>
  <w:style w:type="character" w:styleId="ListLabel170">
    <w:name w:val="ListLabel 170"/>
    <w:qFormat/>
    <w:rPr>
      <w:color w:val="auto"/>
      <w:sz w:val="22"/>
      <w:szCs w:val="22"/>
      <w:u w:val="none"/>
    </w:rPr>
  </w:style>
  <w:style w:type="character" w:styleId="ListLabel171">
    <w:name w:val="ListLabel 171"/>
    <w:qFormat/>
    <w:rPr>
      <w:bCs/>
      <w:sz w:val="22"/>
      <w:szCs w:val="22"/>
    </w:rPr>
  </w:style>
  <w:style w:type="character" w:styleId="ListLabel172">
    <w:name w:val="ListLabel 172"/>
    <w:qFormat/>
    <w:rPr>
      <w:color w:val="auto"/>
      <w:sz w:val="22"/>
      <w:szCs w:val="22"/>
      <w:u w:val="none"/>
    </w:rPr>
  </w:style>
  <w:style w:type="character" w:styleId="ListLabel173">
    <w:name w:val="ListLabel 173"/>
    <w:qFormat/>
    <w:rPr>
      <w:bCs/>
      <w:sz w:val="22"/>
      <w:szCs w:val="22"/>
    </w:rPr>
  </w:style>
  <w:style w:type="character" w:styleId="ListLabel174">
    <w:name w:val="ListLabel 174"/>
    <w:qFormat/>
    <w:rPr>
      <w:color w:val="auto"/>
      <w:sz w:val="22"/>
      <w:szCs w:val="22"/>
      <w:u w:val="none"/>
    </w:rPr>
  </w:style>
  <w:style w:type="character" w:styleId="ListLabel175">
    <w:name w:val="ListLabel 175"/>
    <w:qFormat/>
    <w:rPr>
      <w:bCs/>
      <w:sz w:val="22"/>
      <w:szCs w:val="22"/>
    </w:rPr>
  </w:style>
  <w:style w:type="character" w:styleId="ListLabel176">
    <w:name w:val="ListLabel 176"/>
    <w:qFormat/>
    <w:rPr>
      <w:color w:val="auto"/>
      <w:sz w:val="22"/>
      <w:szCs w:val="22"/>
      <w:u w:val="none"/>
    </w:rPr>
  </w:style>
  <w:style w:type="character" w:styleId="ListLabel177">
    <w:name w:val="ListLabel 177"/>
    <w:qFormat/>
    <w:rPr>
      <w:bCs/>
      <w:sz w:val="22"/>
      <w:szCs w:val="22"/>
    </w:rPr>
  </w:style>
  <w:style w:type="character" w:styleId="ListLabel178">
    <w:name w:val="ListLabel 178"/>
    <w:qFormat/>
    <w:rPr>
      <w:color w:val="auto"/>
      <w:sz w:val="22"/>
      <w:szCs w:val="22"/>
      <w:u w:val="none"/>
    </w:rPr>
  </w:style>
  <w:style w:type="character" w:styleId="ListLabel179">
    <w:name w:val="ListLabel 179"/>
    <w:qFormat/>
    <w:rPr>
      <w:bCs/>
      <w:color w:val="auto"/>
      <w:sz w:val="22"/>
      <w:szCs w:val="22"/>
    </w:rPr>
  </w:style>
  <w:style w:type="character" w:styleId="ListLabel180">
    <w:name w:val="ListLabel 180"/>
    <w:qFormat/>
    <w:rPr>
      <w:color w:val="auto"/>
      <w:sz w:val="22"/>
      <w:szCs w:val="22"/>
      <w:u w:val="none"/>
    </w:rPr>
  </w:style>
  <w:style w:type="character" w:styleId="ListLabel181">
    <w:name w:val="ListLabel 181"/>
    <w:qFormat/>
    <w:rPr>
      <w:bCs/>
      <w:color w:val="auto"/>
      <w:sz w:val="22"/>
      <w:szCs w:val="22"/>
    </w:rPr>
  </w:style>
  <w:style w:type="character" w:styleId="ListLabel182">
    <w:name w:val="ListLabel 182"/>
    <w:qFormat/>
    <w:rPr>
      <w:color w:val="auto"/>
      <w:sz w:val="22"/>
      <w:szCs w:val="22"/>
      <w:u w:val="none"/>
    </w:rPr>
  </w:style>
  <w:style w:type="character" w:styleId="ListLabel183">
    <w:name w:val="ListLabel 183"/>
    <w:qFormat/>
    <w:rPr>
      <w:bCs/>
      <w:color w:val="auto"/>
      <w:sz w:val="22"/>
      <w:szCs w:val="22"/>
    </w:rPr>
  </w:style>
  <w:style w:type="character" w:styleId="ListLabel184">
    <w:name w:val="ListLabel 184"/>
    <w:qFormat/>
    <w:rPr>
      <w:color w:val="auto"/>
      <w:sz w:val="22"/>
      <w:szCs w:val="22"/>
      <w:u w:val="none"/>
    </w:rPr>
  </w:style>
  <w:style w:type="character" w:styleId="ListLabel185">
    <w:name w:val="ListLabel 185"/>
    <w:qFormat/>
    <w:rPr>
      <w:bCs/>
      <w:color w:val="auto"/>
      <w:sz w:val="22"/>
      <w:szCs w:val="22"/>
    </w:rPr>
  </w:style>
  <w:style w:type="character" w:styleId="ListLabel186">
    <w:name w:val="ListLabel 186"/>
    <w:qFormat/>
    <w:rPr>
      <w:color w:val="auto"/>
      <w:sz w:val="22"/>
      <w:szCs w:val="22"/>
      <w:u w:val="none"/>
    </w:rPr>
  </w:style>
  <w:style w:type="character" w:styleId="ListLabel187">
    <w:name w:val="ListLabel 187"/>
    <w:qFormat/>
    <w:rPr>
      <w:bCs/>
      <w:color w:val="auto"/>
      <w:sz w:val="22"/>
      <w:szCs w:val="22"/>
    </w:rPr>
  </w:style>
  <w:style w:type="character" w:styleId="ListLabel188">
    <w:name w:val="ListLabel 188"/>
    <w:qFormat/>
    <w:rPr>
      <w:color w:val="auto"/>
      <w:sz w:val="22"/>
      <w:szCs w:val="22"/>
      <w:u w:val="none"/>
    </w:rPr>
  </w:style>
  <w:style w:type="character" w:styleId="ListLabel189">
    <w:name w:val="ListLabel 189"/>
    <w:qFormat/>
    <w:rPr>
      <w:bCs/>
      <w:color w:val="auto"/>
      <w:sz w:val="22"/>
      <w:szCs w:val="22"/>
    </w:rPr>
  </w:style>
  <w:style w:type="character" w:styleId="ListLabel190">
    <w:name w:val="ListLabel 190"/>
    <w:qFormat/>
    <w:rPr>
      <w:color w:val="auto"/>
      <w:sz w:val="22"/>
      <w:szCs w:val="22"/>
      <w:u w:val="none"/>
    </w:rPr>
  </w:style>
  <w:style w:type="character" w:styleId="ListLabel191">
    <w:name w:val="ListLabel 191"/>
    <w:qFormat/>
    <w:rPr>
      <w:bCs/>
      <w:color w:val="auto"/>
      <w:sz w:val="22"/>
      <w:szCs w:val="22"/>
    </w:rPr>
  </w:style>
  <w:style w:type="character" w:styleId="ListLabel192">
    <w:name w:val="ListLabel 192"/>
    <w:qFormat/>
    <w:rPr>
      <w:color w:val="auto"/>
      <w:sz w:val="22"/>
      <w:szCs w:val="22"/>
      <w:u w:val="none"/>
    </w:rPr>
  </w:style>
  <w:style w:type="character" w:styleId="ListLabel193">
    <w:name w:val="ListLabel 193"/>
    <w:qFormat/>
    <w:rPr>
      <w:bCs/>
      <w:color w:val="auto"/>
      <w:sz w:val="22"/>
      <w:szCs w:val="22"/>
    </w:rPr>
  </w:style>
  <w:style w:type="character" w:styleId="ListLabel194">
    <w:name w:val="ListLabel 194"/>
    <w:qFormat/>
    <w:rPr>
      <w:color w:val="auto"/>
      <w:sz w:val="22"/>
      <w:szCs w:val="22"/>
      <w:u w:val="none"/>
    </w:rPr>
  </w:style>
  <w:style w:type="character" w:styleId="ListLabel195">
    <w:name w:val="ListLabel 195"/>
    <w:qFormat/>
    <w:rPr>
      <w:bCs/>
      <w:color w:val="auto"/>
      <w:sz w:val="22"/>
      <w:szCs w:val="22"/>
    </w:rPr>
  </w:style>
  <w:style w:type="character" w:styleId="ListLabel196">
    <w:name w:val="ListLabel 196"/>
    <w:qFormat/>
    <w:rPr>
      <w:color w:val="auto"/>
      <w:sz w:val="22"/>
      <w:szCs w:val="22"/>
      <w:u w:val="none"/>
    </w:rPr>
  </w:style>
  <w:style w:type="character" w:styleId="ListLabel197">
    <w:name w:val="ListLabel 197"/>
    <w:qFormat/>
    <w:rPr>
      <w:bCs/>
      <w:color w:val="auto"/>
      <w:sz w:val="22"/>
      <w:szCs w:val="22"/>
    </w:rPr>
  </w:style>
  <w:style w:type="character" w:styleId="ListLabel198">
    <w:name w:val="ListLabel 198"/>
    <w:qFormat/>
    <w:rPr>
      <w:color w:val="auto"/>
      <w:sz w:val="22"/>
      <w:szCs w:val="22"/>
      <w:u w:val="none"/>
    </w:rPr>
  </w:style>
  <w:style w:type="character" w:styleId="ListLabel199">
    <w:name w:val="ListLabel 199"/>
    <w:qFormat/>
    <w:rPr>
      <w:bCs/>
      <w:color w:val="auto"/>
      <w:sz w:val="22"/>
      <w:szCs w:val="22"/>
    </w:rPr>
  </w:style>
  <w:style w:type="character" w:styleId="ListLabel200">
    <w:name w:val="ListLabel 200"/>
    <w:qFormat/>
    <w:rPr>
      <w:color w:val="auto"/>
      <w:sz w:val="22"/>
      <w:szCs w:val="22"/>
      <w:u w:val="none"/>
    </w:rPr>
  </w:style>
  <w:style w:type="character" w:styleId="ListLabel201">
    <w:name w:val="ListLabel 201"/>
    <w:qFormat/>
    <w:rPr>
      <w:bCs/>
      <w:color w:val="auto"/>
      <w:sz w:val="22"/>
      <w:szCs w:val="22"/>
    </w:rPr>
  </w:style>
  <w:style w:type="character" w:styleId="ListLabel202">
    <w:name w:val="ListLabel 202"/>
    <w:qFormat/>
    <w:rPr>
      <w:color w:val="auto"/>
      <w:sz w:val="22"/>
      <w:szCs w:val="22"/>
      <w:u w:val="none"/>
    </w:rPr>
  </w:style>
  <w:style w:type="character" w:styleId="ListLabel203">
    <w:name w:val="ListLabel 203"/>
    <w:qFormat/>
    <w:rPr>
      <w:bCs/>
      <w:color w:val="auto"/>
      <w:sz w:val="22"/>
      <w:szCs w:val="22"/>
    </w:rPr>
  </w:style>
  <w:style w:type="character" w:styleId="ListLabel204">
    <w:name w:val="ListLabel 204"/>
    <w:qFormat/>
    <w:rPr>
      <w:color w:val="auto"/>
      <w:sz w:val="22"/>
      <w:szCs w:val="22"/>
      <w:u w:val="none"/>
    </w:rPr>
  </w:style>
  <w:style w:type="character" w:styleId="ListLabel205">
    <w:name w:val="ListLabel 205"/>
    <w:qFormat/>
    <w:rPr>
      <w:bCs/>
      <w:color w:val="auto"/>
      <w:sz w:val="22"/>
      <w:szCs w:val="22"/>
    </w:rPr>
  </w:style>
  <w:style w:type="character" w:styleId="ListLabel206">
    <w:name w:val="ListLabel 206"/>
    <w:qFormat/>
    <w:rPr>
      <w:color w:val="auto"/>
      <w:sz w:val="22"/>
      <w:szCs w:val="22"/>
      <w:u w:val="none"/>
    </w:rPr>
  </w:style>
  <w:style w:type="character" w:styleId="ListLabel207">
    <w:name w:val="ListLabel 207"/>
    <w:qFormat/>
    <w:rPr>
      <w:bCs/>
      <w:color w:val="auto"/>
      <w:sz w:val="22"/>
      <w:szCs w:val="22"/>
    </w:rPr>
  </w:style>
  <w:style w:type="character" w:styleId="ListLabel208">
    <w:name w:val="ListLabel 208"/>
    <w:qFormat/>
    <w:rPr>
      <w:color w:val="auto"/>
      <w:sz w:val="22"/>
      <w:szCs w:val="22"/>
      <w:u w:val="none"/>
    </w:rPr>
  </w:style>
  <w:style w:type="character" w:styleId="ListLabel209">
    <w:name w:val="ListLabel 209"/>
    <w:qFormat/>
    <w:rPr>
      <w:bCs/>
      <w:color w:val="auto"/>
      <w:sz w:val="22"/>
      <w:szCs w:val="22"/>
    </w:rPr>
  </w:style>
  <w:style w:type="character" w:styleId="ListLabel210">
    <w:name w:val="ListLabel 210"/>
    <w:qFormat/>
    <w:rPr>
      <w:color w:val="auto"/>
      <w:sz w:val="22"/>
      <w:szCs w:val="22"/>
      <w:u w:val="none"/>
    </w:rPr>
  </w:style>
  <w:style w:type="character" w:styleId="ListLabel211">
    <w:name w:val="ListLabel 211"/>
    <w:qFormat/>
    <w:rPr>
      <w:bCs/>
      <w:color w:val="auto"/>
      <w:sz w:val="22"/>
      <w:szCs w:val="22"/>
    </w:rPr>
  </w:style>
  <w:style w:type="paragraph" w:styleId="Style14" w:customStyle="1">
    <w:name w:val="Заголовок"/>
    <w:basedOn w:val="Normal"/>
    <w:next w:val="Style15"/>
    <w:qFormat/>
    <w:pPr>
      <w:keepNext w:val="true"/>
      <w:spacing w:before="240" w:after="120"/>
    </w:pPr>
    <w:rPr>
      <w:rFonts w:ascii="Liberation Sans" w:hAnsi="Liberation Sans" w:eastAsia="Microsoft YaHei" w:cs="Arial"/>
      <w:sz w:val="28"/>
      <w:szCs w:val="28"/>
    </w:rPr>
  </w:style>
  <w:style w:type="paragraph" w:styleId="Style15">
    <w:name w:val="Body Text"/>
    <w:basedOn w:val="Normal"/>
    <w:rsid w:val="004856af"/>
    <w:pPr>
      <w:jc w:val="both"/>
    </w:pPr>
    <w:rPr/>
  </w:style>
  <w:style w:type="paragraph" w:styleId="Style16">
    <w:name w:val="List"/>
    <w:basedOn w:val="Style15"/>
    <w:rsid w:val="004856af"/>
    <w:pPr/>
    <w:rPr>
      <w:rFonts w:cs="Arial"/>
    </w:rPr>
  </w:style>
  <w:style w:type="paragraph" w:styleId="Style17">
    <w:name w:val="Caption"/>
    <w:basedOn w:val="Normal"/>
    <w:qFormat/>
    <w:pPr>
      <w:suppressLineNumbers/>
      <w:spacing w:before="120" w:after="120"/>
    </w:pPr>
    <w:rPr>
      <w:rFonts w:cs="Arial Unicode MS"/>
      <w:i/>
      <w:iCs/>
      <w:sz w:val="24"/>
      <w:szCs w:val="24"/>
    </w:rPr>
  </w:style>
  <w:style w:type="paragraph" w:styleId="Style18">
    <w:name w:val="Указатель"/>
    <w:basedOn w:val="Normal"/>
    <w:qFormat/>
    <w:pPr>
      <w:suppressLineNumbers/>
    </w:pPr>
    <w:rPr>
      <w:rFonts w:cs="Arial Unicode MS"/>
    </w:rPr>
  </w:style>
  <w:style w:type="paragraph" w:styleId="Caption">
    <w:name w:val="caption"/>
    <w:basedOn w:val="Normal"/>
    <w:qFormat/>
    <w:rsid w:val="004856af"/>
    <w:pPr>
      <w:suppressLineNumbers/>
      <w:spacing w:before="120" w:after="120"/>
    </w:pPr>
    <w:rPr>
      <w:rFonts w:cs="Arial"/>
      <w:i/>
      <w:iCs/>
    </w:rPr>
  </w:style>
  <w:style w:type="paragraph" w:styleId="Indexheading">
    <w:name w:val="index heading"/>
    <w:basedOn w:val="Normal"/>
    <w:qFormat/>
    <w:pPr>
      <w:suppressLineNumbers/>
    </w:pPr>
    <w:rPr>
      <w:rFonts w:cs="Arial"/>
    </w:rPr>
  </w:style>
  <w:style w:type="paragraph" w:styleId="15" w:customStyle="1">
    <w:name w:val="Заголовок1"/>
    <w:basedOn w:val="Normal"/>
    <w:next w:val="Style15"/>
    <w:qFormat/>
    <w:rsid w:val="004856af"/>
    <w:pPr>
      <w:widowControl w:val="false"/>
      <w:shd w:val="clear" w:color="auto" w:fill="FFFFFF"/>
      <w:ind w:left="72" w:hanging="0"/>
      <w:jc w:val="center"/>
    </w:pPr>
    <w:rPr>
      <w:color w:val="000000"/>
      <w:spacing w:val="13"/>
      <w:sz w:val="22"/>
      <w:szCs w:val="22"/>
    </w:rPr>
  </w:style>
  <w:style w:type="paragraph" w:styleId="Style19">
    <w:name w:val="Title"/>
    <w:basedOn w:val="Normal"/>
    <w:next w:val="Style15"/>
    <w:qFormat/>
    <w:pPr>
      <w:keepNext w:val="true"/>
      <w:spacing w:before="240" w:after="120"/>
    </w:pPr>
    <w:rPr>
      <w:rFonts w:ascii="Liberation Sans" w:hAnsi="Liberation Sans" w:eastAsia="Microsoft YaHei" w:cs="Arial"/>
      <w:sz w:val="28"/>
      <w:szCs w:val="28"/>
    </w:rPr>
  </w:style>
  <w:style w:type="paragraph" w:styleId="63" w:customStyle="1">
    <w:name w:val="Указатель6"/>
    <w:basedOn w:val="Normal"/>
    <w:qFormat/>
    <w:rsid w:val="004856af"/>
    <w:pPr>
      <w:suppressLineNumbers/>
    </w:pPr>
    <w:rPr>
      <w:rFonts w:cs="Arial"/>
    </w:rPr>
  </w:style>
  <w:style w:type="paragraph" w:styleId="64" w:customStyle="1">
    <w:name w:val="Название объекта6"/>
    <w:basedOn w:val="Normal"/>
    <w:qFormat/>
    <w:rsid w:val="004856af"/>
    <w:pPr>
      <w:suppressLineNumbers/>
      <w:spacing w:before="120" w:after="120"/>
    </w:pPr>
    <w:rPr>
      <w:rFonts w:cs="Arial"/>
      <w:i/>
      <w:iCs/>
    </w:rPr>
  </w:style>
  <w:style w:type="paragraph" w:styleId="53" w:customStyle="1">
    <w:name w:val="Указатель5"/>
    <w:basedOn w:val="Normal"/>
    <w:qFormat/>
    <w:rsid w:val="004856af"/>
    <w:pPr>
      <w:suppressLineNumbers/>
    </w:pPr>
    <w:rPr>
      <w:rFonts w:cs="Arial"/>
    </w:rPr>
  </w:style>
  <w:style w:type="paragraph" w:styleId="54" w:customStyle="1">
    <w:name w:val="Название объекта5"/>
    <w:basedOn w:val="Normal"/>
    <w:qFormat/>
    <w:rsid w:val="004856af"/>
    <w:pPr>
      <w:suppressLineNumbers/>
      <w:spacing w:before="120" w:after="120"/>
    </w:pPr>
    <w:rPr>
      <w:rFonts w:cs="Arial"/>
      <w:i/>
      <w:iCs/>
    </w:rPr>
  </w:style>
  <w:style w:type="paragraph" w:styleId="43" w:customStyle="1">
    <w:name w:val="Указатель4"/>
    <w:basedOn w:val="Normal"/>
    <w:qFormat/>
    <w:rsid w:val="004856af"/>
    <w:pPr>
      <w:suppressLineNumbers/>
    </w:pPr>
    <w:rPr>
      <w:rFonts w:cs="Arial"/>
    </w:rPr>
  </w:style>
  <w:style w:type="paragraph" w:styleId="44" w:customStyle="1">
    <w:name w:val="Название объекта4"/>
    <w:basedOn w:val="Normal"/>
    <w:qFormat/>
    <w:rsid w:val="004856af"/>
    <w:pPr>
      <w:suppressLineNumbers/>
      <w:spacing w:before="120" w:after="120"/>
    </w:pPr>
    <w:rPr>
      <w:rFonts w:cs="Arial"/>
      <w:i/>
      <w:iCs/>
    </w:rPr>
  </w:style>
  <w:style w:type="paragraph" w:styleId="33" w:customStyle="1">
    <w:name w:val="Указатель3"/>
    <w:basedOn w:val="Normal"/>
    <w:qFormat/>
    <w:rsid w:val="004856af"/>
    <w:pPr>
      <w:suppressLineNumbers/>
    </w:pPr>
    <w:rPr>
      <w:rFonts w:cs="Arial"/>
    </w:rPr>
  </w:style>
  <w:style w:type="paragraph" w:styleId="34" w:customStyle="1">
    <w:name w:val="Название объекта3"/>
    <w:basedOn w:val="Normal"/>
    <w:qFormat/>
    <w:rsid w:val="004856af"/>
    <w:pPr>
      <w:suppressLineNumbers/>
      <w:spacing w:before="120" w:after="120"/>
    </w:pPr>
    <w:rPr>
      <w:rFonts w:cs="Arial"/>
      <w:i/>
      <w:iCs/>
    </w:rPr>
  </w:style>
  <w:style w:type="paragraph" w:styleId="23" w:customStyle="1">
    <w:name w:val="Указатель2"/>
    <w:basedOn w:val="Normal"/>
    <w:qFormat/>
    <w:rsid w:val="004856af"/>
    <w:pPr>
      <w:suppressLineNumbers/>
    </w:pPr>
    <w:rPr>
      <w:rFonts w:cs="Arial"/>
    </w:rPr>
  </w:style>
  <w:style w:type="paragraph" w:styleId="24" w:customStyle="1">
    <w:name w:val="Название объекта2"/>
    <w:basedOn w:val="Normal"/>
    <w:qFormat/>
    <w:rsid w:val="004856af"/>
    <w:pPr>
      <w:suppressLineNumbers/>
      <w:spacing w:before="120" w:after="120"/>
    </w:pPr>
    <w:rPr>
      <w:rFonts w:cs="Arial"/>
      <w:i/>
      <w:iCs/>
    </w:rPr>
  </w:style>
  <w:style w:type="paragraph" w:styleId="16" w:customStyle="1">
    <w:name w:val="Указатель1"/>
    <w:basedOn w:val="Normal"/>
    <w:qFormat/>
    <w:rsid w:val="004856af"/>
    <w:pPr>
      <w:suppressLineNumbers/>
    </w:pPr>
    <w:rPr>
      <w:rFonts w:cs="Arial"/>
    </w:rPr>
  </w:style>
  <w:style w:type="paragraph" w:styleId="17" w:customStyle="1">
    <w:name w:val="Название объекта1"/>
    <w:basedOn w:val="Normal"/>
    <w:next w:val="Normal"/>
    <w:qFormat/>
    <w:rsid w:val="004856af"/>
    <w:pPr>
      <w:widowControl w:val="false"/>
      <w:ind w:left="600" w:hanging="0"/>
    </w:pPr>
    <w:rPr>
      <w:rFonts w:ascii="Arial" w:hAnsi="Arial" w:cs="Arial"/>
    </w:rPr>
  </w:style>
  <w:style w:type="paragraph" w:styleId="Style20">
    <w:name w:val="Subtitle"/>
    <w:basedOn w:val="Normal"/>
    <w:next w:val="Style15"/>
    <w:qFormat/>
    <w:rsid w:val="004856af"/>
    <w:pPr/>
    <w:rPr>
      <w:rFonts w:ascii="Arial" w:hAnsi="Arial" w:cs="Arial"/>
      <w:b/>
      <w:bCs/>
    </w:rPr>
  </w:style>
  <w:style w:type="paragraph" w:styleId="Style21" w:customStyle="1">
    <w:name w:val="АД_Основной текст"/>
    <w:basedOn w:val="Normal"/>
    <w:qFormat/>
    <w:rsid w:val="004856af"/>
    <w:pPr>
      <w:ind w:firstLine="567"/>
      <w:jc w:val="both"/>
    </w:pPr>
    <w:rPr/>
  </w:style>
  <w:style w:type="paragraph" w:styleId="45" w:customStyle="1">
    <w:name w:val="АД_Нумерованный подпункт 4 уровня"/>
    <w:basedOn w:val="Normal"/>
    <w:qFormat/>
    <w:rsid w:val="004856af"/>
    <w:pPr>
      <w:jc w:val="both"/>
    </w:pPr>
    <w:rPr/>
  </w:style>
  <w:style w:type="paragraph" w:styleId="ConsPlusNormal" w:customStyle="1">
    <w:name w:val="ConsPlusNormal"/>
    <w:qFormat/>
    <w:rsid w:val="004856af"/>
    <w:pPr>
      <w:widowControl w:val="false"/>
      <w:suppressAutoHyphens w:val="true"/>
      <w:bidi w:val="0"/>
      <w:ind w:firstLine="720"/>
      <w:jc w:val="left"/>
    </w:pPr>
    <w:rPr>
      <w:rFonts w:ascii="Arial" w:hAnsi="Arial" w:eastAsia="Times New Roman" w:cs="Arial"/>
      <w:color w:val="auto"/>
      <w:kern w:val="0"/>
      <w:sz w:val="24"/>
      <w:szCs w:val="20"/>
      <w:lang w:val="ru-RU" w:eastAsia="zh-CN" w:bidi="ar-SA"/>
    </w:rPr>
  </w:style>
  <w:style w:type="paragraph" w:styleId="Style22">
    <w:name w:val="Footnote Text"/>
    <w:basedOn w:val="Normal"/>
    <w:rsid w:val="004856af"/>
    <w:pPr>
      <w:spacing w:before="0" w:after="60"/>
      <w:jc w:val="both"/>
    </w:pPr>
    <w:rPr>
      <w:sz w:val="20"/>
      <w:szCs w:val="20"/>
    </w:rPr>
  </w:style>
  <w:style w:type="paragraph" w:styleId="25" w:customStyle="1">
    <w:name w:val="Знак Знак Знак Знак Знак2 Знак Знак Знак Знак Знак Знак Знак Знак Знак"/>
    <w:basedOn w:val="Normal"/>
    <w:qFormat/>
    <w:rsid w:val="004856af"/>
    <w:pPr>
      <w:widowControl w:val="false"/>
      <w:spacing w:lineRule="exact" w:line="240" w:before="0" w:after="160"/>
      <w:jc w:val="right"/>
    </w:pPr>
    <w:rPr>
      <w:rFonts w:ascii="Arial" w:hAnsi="Arial" w:cs="Arial"/>
      <w:sz w:val="20"/>
      <w:szCs w:val="20"/>
      <w:lang w:val="en-GB"/>
    </w:rPr>
  </w:style>
  <w:style w:type="paragraph" w:styleId="18" w:customStyle="1">
    <w:name w:val="Без интервала1"/>
    <w:qFormat/>
    <w:rsid w:val="004856af"/>
    <w:pPr>
      <w:widowControl/>
      <w:suppressAutoHyphens w:val="true"/>
      <w:bidi w:val="0"/>
      <w:jc w:val="left"/>
    </w:pPr>
    <w:rPr>
      <w:rFonts w:ascii="Calibri" w:hAnsi="Calibri" w:eastAsia="Times New Roman" w:cs="Calibri"/>
      <w:color w:val="auto"/>
      <w:kern w:val="0"/>
      <w:sz w:val="22"/>
      <w:szCs w:val="22"/>
      <w:lang w:val="ru-RU" w:eastAsia="zh-CN" w:bidi="ar-SA"/>
    </w:rPr>
  </w:style>
  <w:style w:type="paragraph" w:styleId="ConsNonformat" w:customStyle="1">
    <w:name w:val="ConsNonformat"/>
    <w:qFormat/>
    <w:rsid w:val="004856af"/>
    <w:pPr>
      <w:widowControl w:val="false"/>
      <w:suppressAutoHyphens w:val="true"/>
      <w:bidi w:val="0"/>
      <w:jc w:val="left"/>
    </w:pPr>
    <w:rPr>
      <w:rFonts w:ascii="Courier New" w:hAnsi="Courier New" w:eastAsia="Times New Roman" w:cs="Courier New"/>
      <w:color w:val="auto"/>
      <w:kern w:val="0"/>
      <w:sz w:val="16"/>
      <w:szCs w:val="16"/>
      <w:lang w:val="ru-RU" w:eastAsia="zh-CN" w:bidi="ar-SA"/>
    </w:rPr>
  </w:style>
  <w:style w:type="paragraph" w:styleId="NormalWeb">
    <w:name w:val="Normal (Web)"/>
    <w:basedOn w:val="Normal"/>
    <w:qFormat/>
    <w:rsid w:val="004856af"/>
    <w:pPr>
      <w:spacing w:before="280" w:after="280"/>
    </w:pPr>
    <w:rPr/>
  </w:style>
  <w:style w:type="paragraph" w:styleId="Style23" w:customStyle="1">
    <w:name w:val="Верхний и нижний колонтитулы"/>
    <w:basedOn w:val="Normal"/>
    <w:qFormat/>
    <w:pPr/>
    <w:rPr/>
  </w:style>
  <w:style w:type="paragraph" w:styleId="Style24">
    <w:name w:val="Footer"/>
    <w:basedOn w:val="Normal"/>
    <w:rsid w:val="004856af"/>
    <w:pPr>
      <w:tabs>
        <w:tab w:val="clear" w:pos="720"/>
        <w:tab w:val="center" w:pos="4677" w:leader="none"/>
        <w:tab w:val="right" w:pos="9355" w:leader="none"/>
      </w:tabs>
    </w:pPr>
    <w:rPr/>
  </w:style>
  <w:style w:type="paragraph" w:styleId="Style25">
    <w:name w:val="Body Text Indent"/>
    <w:basedOn w:val="Normal"/>
    <w:rsid w:val="004856af"/>
    <w:pPr>
      <w:spacing w:before="0" w:after="120"/>
      <w:ind w:left="283" w:hanging="0"/>
    </w:pPr>
    <w:rPr/>
  </w:style>
  <w:style w:type="paragraph" w:styleId="NoSpacing">
    <w:name w:val="No Spacing"/>
    <w:qFormat/>
    <w:rsid w:val="004856af"/>
    <w:pPr>
      <w:widowControl/>
      <w:suppressAutoHyphens w:val="true"/>
      <w:bidi w:val="0"/>
      <w:jc w:val="left"/>
    </w:pPr>
    <w:rPr>
      <w:rFonts w:ascii="Calibri" w:hAnsi="Calibri" w:eastAsia="Calibri" w:cs="Calibri"/>
      <w:color w:val="auto"/>
      <w:kern w:val="0"/>
      <w:sz w:val="22"/>
      <w:szCs w:val="22"/>
      <w:lang w:val="ru-RU" w:eastAsia="zh-CN" w:bidi="ar-SA"/>
    </w:rPr>
  </w:style>
  <w:style w:type="paragraph" w:styleId="Default" w:customStyle="1">
    <w:name w:val="Default"/>
    <w:qFormat/>
    <w:rsid w:val="004856af"/>
    <w:pPr>
      <w:widowControl/>
      <w:suppressAutoHyphens w:val="true"/>
      <w:bidi w:val="0"/>
      <w:jc w:val="left"/>
    </w:pPr>
    <w:rPr>
      <w:rFonts w:ascii="Times New Roman" w:hAnsi="Times New Roman" w:eastAsia="Times New Roman" w:cs="Times New Roman"/>
      <w:color w:val="000000"/>
      <w:kern w:val="0"/>
      <w:sz w:val="24"/>
      <w:szCs w:val="24"/>
      <w:lang w:val="ru-RU" w:eastAsia="zh-CN" w:bidi="ar-SA"/>
    </w:rPr>
  </w:style>
  <w:style w:type="paragraph" w:styleId="19" w:customStyle="1">
    <w:name w:val="Обычный1"/>
    <w:qFormat/>
    <w:rsid w:val="004856af"/>
    <w:pPr>
      <w:widowControl/>
      <w:suppressAutoHyphens w:val="true"/>
      <w:bidi w:val="0"/>
      <w:jc w:val="left"/>
    </w:pPr>
    <w:rPr>
      <w:rFonts w:ascii="Times New Roman" w:hAnsi="Times New Roman" w:eastAsia="Times New Roman" w:cs="Times New Roman"/>
      <w:color w:val="auto"/>
      <w:kern w:val="0"/>
      <w:sz w:val="24"/>
      <w:szCs w:val="20"/>
      <w:lang w:val="ru-RU" w:eastAsia="zh-CN" w:bidi="ar-SA"/>
    </w:rPr>
  </w:style>
  <w:style w:type="paragraph" w:styleId="Style26" w:customStyle="1">
    <w:name w:val="Содержимое таблицы"/>
    <w:basedOn w:val="Normal"/>
    <w:qFormat/>
    <w:rsid w:val="004856af"/>
    <w:pPr>
      <w:suppressLineNumbers/>
    </w:pPr>
    <w:rPr/>
  </w:style>
  <w:style w:type="paragraph" w:styleId="Style27" w:customStyle="1">
    <w:name w:val="Заголовок таблицы"/>
    <w:basedOn w:val="Style26"/>
    <w:qFormat/>
    <w:rsid w:val="004856af"/>
    <w:pPr>
      <w:jc w:val="center"/>
    </w:pPr>
    <w:rPr>
      <w:b/>
      <w:bCs/>
    </w:rPr>
  </w:style>
  <w:style w:type="paragraph" w:styleId="Style28" w:customStyle="1">
    <w:name w:val="Содержимое врезки"/>
    <w:basedOn w:val="Normal"/>
    <w:qFormat/>
    <w:rsid w:val="004856af"/>
    <w:pPr/>
    <w:rPr/>
  </w:style>
  <w:style w:type="paragraph" w:styleId="BalloonText">
    <w:name w:val="Balloon Text"/>
    <w:basedOn w:val="Normal"/>
    <w:qFormat/>
    <w:rsid w:val="004856af"/>
    <w:pPr/>
    <w:rPr>
      <w:rFonts w:ascii="Segoe UI" w:hAnsi="Segoe UI" w:cs="Segoe UI"/>
      <w:sz w:val="18"/>
      <w:szCs w:val="18"/>
    </w:rPr>
  </w:style>
  <w:style w:type="paragraph" w:styleId="Style29" w:customStyle="1">
    <w:name w:val="Заголовок списка"/>
    <w:basedOn w:val="Normal"/>
    <w:next w:val="Style30"/>
    <w:qFormat/>
    <w:pPr/>
    <w:rPr/>
  </w:style>
  <w:style w:type="paragraph" w:styleId="Style30" w:customStyle="1">
    <w:name w:val="Содержимое списка"/>
    <w:basedOn w:val="Normal"/>
    <w:qFormat/>
    <w:pPr>
      <w:ind w:left="567" w:hanging="0"/>
    </w:pPr>
    <w:rPr/>
  </w:style>
  <w:style w:type="paragraph" w:styleId="ListParagraph">
    <w:name w:val="List Paragraph"/>
    <w:basedOn w:val="Normal"/>
    <w:qFormat/>
    <w:pPr>
      <w:spacing w:before="0" w:after="160"/>
      <w:ind w:left="720" w:right="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hyperlink" Target="consultantplus://offline/ref=8EDE87F71B4BCE908A25F251596D609A698748C4696375562C46515D09AC23E45D768FF138D76634aBF5S" TargetMode="Externa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830</TotalTime>
  <Application>LibreOffice/6.2.5.2$Windows_X86_64 LibreOffice_project/1ec314fa52f458adc18c4f025c545a4e8b22c159</Application>
  <Pages>8</Pages>
  <Words>2707</Words>
  <Characters>19373</Characters>
  <CharactersWithSpaces>22226</CharactersWithSpaces>
  <Paragraphs>189</Paragraphs>
  <Company>SPecialiST RePack</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2023-02-08T08:13:00Z</dcterms:created>
  <dc:creator>Alex</dc:creator>
  <dc:description/>
  <dc:language>ru-RU</dc:language>
  <cp:lastModifiedBy/>
  <cp:lastPrinted>2025-02-25T11:21:57Z</cp:lastPrinted>
  <dcterms:modified xsi:type="dcterms:W3CDTF">2026-03-11T16:42:03Z</dcterms:modified>
  <cp:revision>359</cp:revision>
  <dc:subject/>
  <dc:title>Гражданско-правовой договор №___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